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15" w:rsidRDefault="00D37015" w:rsidP="00D37015">
      <w:pPr>
        <w:widowControl/>
        <w:shd w:val="clear" w:color="auto" w:fill="FFFFFF"/>
        <w:spacing w:line="360" w:lineRule="atLeast"/>
        <w:ind w:firstLine="480"/>
        <w:jc w:val="center"/>
        <w:rPr>
          <w:rFonts w:ascii="Arial" w:eastAsia="宋体" w:hAnsi="Arial" w:cs="Arial" w:hint="eastAsia"/>
          <w:b/>
          <w:color w:val="333333"/>
          <w:kern w:val="0"/>
          <w:sz w:val="32"/>
          <w:szCs w:val="32"/>
        </w:rPr>
      </w:pPr>
      <w:r w:rsidRPr="00D37015">
        <w:rPr>
          <w:rFonts w:ascii="Arial" w:eastAsia="宋体" w:hAnsi="Arial" w:cs="Arial"/>
          <w:b/>
          <w:color w:val="333333"/>
          <w:kern w:val="0"/>
          <w:sz w:val="32"/>
          <w:szCs w:val="32"/>
        </w:rPr>
        <w:t>技术合同认定</w:t>
      </w:r>
      <w:r w:rsidRPr="00D37015">
        <w:rPr>
          <w:rFonts w:ascii="Arial" w:eastAsia="宋体" w:hAnsi="Arial" w:cs="Arial" w:hint="eastAsia"/>
          <w:b/>
          <w:color w:val="333333"/>
          <w:kern w:val="0"/>
          <w:sz w:val="32"/>
          <w:szCs w:val="32"/>
        </w:rPr>
        <w:t>规则</w:t>
      </w:r>
    </w:p>
    <w:p w:rsidR="007B1902" w:rsidRPr="007B1902" w:rsidRDefault="007B1902" w:rsidP="007B1902">
      <w:pPr>
        <w:widowControl/>
        <w:shd w:val="clear" w:color="auto" w:fill="FFFFFF"/>
        <w:spacing w:line="360" w:lineRule="atLeast"/>
        <w:ind w:firstLine="480"/>
        <w:jc w:val="center"/>
        <w:rPr>
          <w:rFonts w:ascii="Arial" w:eastAsia="宋体" w:hAnsi="Arial" w:cs="Arial"/>
          <w:color w:val="333333"/>
          <w:kern w:val="0"/>
          <w:szCs w:val="21"/>
        </w:rPr>
      </w:pPr>
      <w:r w:rsidRPr="007B1902">
        <w:rPr>
          <w:rFonts w:ascii="Arial" w:eastAsia="宋体" w:hAnsi="Arial" w:cs="Arial"/>
          <w:color w:val="333333"/>
          <w:kern w:val="0"/>
          <w:szCs w:val="21"/>
        </w:rPr>
        <w:t>国科发政字</w:t>
      </w:r>
      <w:r w:rsidRPr="007B1902">
        <w:rPr>
          <w:rFonts w:ascii="Arial" w:eastAsia="宋体" w:hAnsi="Arial" w:cs="Arial"/>
          <w:color w:val="333333"/>
          <w:kern w:val="0"/>
          <w:szCs w:val="21"/>
        </w:rPr>
        <w:t>[2001]253</w:t>
      </w:r>
      <w:r w:rsidRPr="007B1902">
        <w:rPr>
          <w:rFonts w:ascii="Arial" w:eastAsia="宋体" w:hAnsi="Arial" w:cs="Arial"/>
          <w:color w:val="333333"/>
          <w:kern w:val="0"/>
          <w:szCs w:val="21"/>
        </w:rPr>
        <w:t>号</w:t>
      </w:r>
    </w:p>
    <w:p w:rsidR="00D37015" w:rsidRPr="00D37015" w:rsidRDefault="00D37015" w:rsidP="00D37015">
      <w:pPr>
        <w:widowControl/>
        <w:shd w:val="clear" w:color="auto" w:fill="FFFFFF"/>
        <w:spacing w:line="360" w:lineRule="atLeast"/>
        <w:ind w:firstLine="480"/>
        <w:jc w:val="center"/>
        <w:rPr>
          <w:rFonts w:ascii="Arial" w:eastAsia="宋体" w:hAnsi="Arial" w:cs="Arial"/>
          <w:color w:val="333333"/>
          <w:kern w:val="0"/>
          <w:szCs w:val="21"/>
        </w:rPr>
      </w:pPr>
      <w:bookmarkStart w:id="0" w:name="_GoBack"/>
      <w:bookmarkEnd w:id="0"/>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t>第一章</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一般规定</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第一条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为推动技术创新，加速科技成果转化，保障国家有关促进科技成果转化法律法规和政策的实施，加强技术市场管理，根据《中国人民共和国合同法》及科技部、财政部、国家税务总局《技术合同认定登记管理办法》的规定，制定本规则。</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第二条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技术合同认定是指根据《技术合同认定登记管理办法》设立的技术合同登记机构对技术合同当事人申请认定登记的合同文本从技术上进行核查，确认其是否符合技术合同要求的专项管理工作。</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技术合同登记机构应当对申请认定登记的合同是否属于技术合同及属于何种技术合同</w:t>
      </w:r>
      <w:proofErr w:type="gramStart"/>
      <w:r w:rsidRPr="00D37015">
        <w:rPr>
          <w:rFonts w:ascii="Arial" w:eastAsia="宋体" w:hAnsi="Arial" w:cs="Arial"/>
          <w:color w:val="333333"/>
          <w:kern w:val="0"/>
          <w:szCs w:val="21"/>
        </w:rPr>
        <w:t>作出</w:t>
      </w:r>
      <w:proofErr w:type="gramEnd"/>
      <w:r w:rsidRPr="00D37015">
        <w:rPr>
          <w:rFonts w:ascii="Arial" w:eastAsia="宋体" w:hAnsi="Arial" w:cs="Arial"/>
          <w:color w:val="333333"/>
          <w:kern w:val="0"/>
          <w:szCs w:val="21"/>
        </w:rPr>
        <w:t>结论，并核定其技术交易额</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技术性收入</w:t>
      </w:r>
      <w:r w:rsidRPr="00D37015">
        <w:rPr>
          <w:rFonts w:ascii="Arial" w:eastAsia="宋体" w:hAnsi="Arial" w:cs="Arial"/>
          <w:color w:val="333333"/>
          <w:kern w:val="0"/>
          <w:szCs w:val="21"/>
        </w:rPr>
        <w:t>)</w:t>
      </w:r>
      <w:r w:rsidRPr="00D37015">
        <w:rPr>
          <w:rFonts w:ascii="Arial" w:eastAsia="宋体" w:hAnsi="Arial" w:cs="Arial"/>
          <w:color w:val="333333"/>
          <w:kern w:val="0"/>
          <w:szCs w:val="21"/>
        </w:rPr>
        <w:t>。</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技术合同认定登记应当贯彻依法认定、客观准确、高效服务、严格管理的工作原则，提高认定质量，切实保障国家有关促进科技成果转化财税优惠政策的落实。</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本规则适用于自然人</w:t>
      </w:r>
      <w:r w:rsidRPr="00D37015">
        <w:rPr>
          <w:rFonts w:ascii="Arial" w:eastAsia="宋体" w:hAnsi="Arial" w:cs="Arial"/>
          <w:color w:val="333333"/>
          <w:kern w:val="0"/>
          <w:szCs w:val="21"/>
        </w:rPr>
        <w:t>(</w:t>
      </w:r>
      <w:r w:rsidRPr="00D37015">
        <w:rPr>
          <w:rFonts w:ascii="Arial" w:eastAsia="宋体" w:hAnsi="Arial" w:cs="Arial"/>
          <w:color w:val="333333"/>
          <w:kern w:val="0"/>
          <w:szCs w:val="21"/>
        </w:rPr>
        <w:t>个人</w:t>
      </w:r>
      <w:r w:rsidRPr="00D37015">
        <w:rPr>
          <w:rFonts w:ascii="Arial" w:eastAsia="宋体" w:hAnsi="Arial" w:cs="Arial"/>
          <w:color w:val="333333"/>
          <w:kern w:val="0"/>
          <w:szCs w:val="21"/>
        </w:rPr>
        <w:t>)</w:t>
      </w:r>
      <w:r w:rsidRPr="00D37015">
        <w:rPr>
          <w:rFonts w:ascii="Arial" w:eastAsia="宋体" w:hAnsi="Arial" w:cs="Arial"/>
          <w:color w:val="333333"/>
          <w:kern w:val="0"/>
          <w:szCs w:val="21"/>
        </w:rPr>
        <w:t>、法人、其他组织之间依据《中华人民共和国合同法》第十八章的规定，就下列技术开发、技术转让、技术咨询和技术服务活动所订立的确立民事权利与义务关系的技术合同：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技术开发合同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 xml:space="preserve">1. </w:t>
      </w:r>
      <w:r w:rsidRPr="00D37015">
        <w:rPr>
          <w:rFonts w:ascii="Arial" w:eastAsia="宋体" w:hAnsi="Arial" w:cs="Arial"/>
          <w:color w:val="333333"/>
          <w:kern w:val="0"/>
          <w:szCs w:val="21"/>
        </w:rPr>
        <w:t>委托开发技术合同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 xml:space="preserve">2. </w:t>
      </w:r>
      <w:r w:rsidRPr="00D37015">
        <w:rPr>
          <w:rFonts w:ascii="Arial" w:eastAsia="宋体" w:hAnsi="Arial" w:cs="Arial"/>
          <w:color w:val="333333"/>
          <w:kern w:val="0"/>
          <w:szCs w:val="21"/>
        </w:rPr>
        <w:t>合作开发技术合同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技术转让合同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 xml:space="preserve">1. </w:t>
      </w:r>
      <w:r w:rsidRPr="00D37015">
        <w:rPr>
          <w:rFonts w:ascii="Arial" w:eastAsia="宋体" w:hAnsi="Arial" w:cs="Arial"/>
          <w:color w:val="333333"/>
          <w:kern w:val="0"/>
          <w:szCs w:val="21"/>
        </w:rPr>
        <w:t>专利权转让合同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 xml:space="preserve">2. </w:t>
      </w:r>
      <w:r w:rsidRPr="00D37015">
        <w:rPr>
          <w:rFonts w:ascii="Arial" w:eastAsia="宋体" w:hAnsi="Arial" w:cs="Arial"/>
          <w:color w:val="333333"/>
          <w:kern w:val="0"/>
          <w:szCs w:val="21"/>
        </w:rPr>
        <w:t>专利申请权转让合同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 xml:space="preserve">3. </w:t>
      </w:r>
      <w:r w:rsidRPr="00D37015">
        <w:rPr>
          <w:rFonts w:ascii="Arial" w:eastAsia="宋体" w:hAnsi="Arial" w:cs="Arial"/>
          <w:color w:val="333333"/>
          <w:kern w:val="0"/>
          <w:szCs w:val="21"/>
        </w:rPr>
        <w:t>专利实施许可合同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 xml:space="preserve">4. </w:t>
      </w:r>
      <w:r w:rsidRPr="00D37015">
        <w:rPr>
          <w:rFonts w:ascii="Arial" w:eastAsia="宋体" w:hAnsi="Arial" w:cs="Arial"/>
          <w:color w:val="333333"/>
          <w:kern w:val="0"/>
          <w:szCs w:val="21"/>
        </w:rPr>
        <w:t>技术秘密转让合同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技术咨询合同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四</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技术服务合同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 xml:space="preserve">1. </w:t>
      </w:r>
      <w:r w:rsidRPr="00D37015">
        <w:rPr>
          <w:rFonts w:ascii="Arial" w:eastAsia="宋体" w:hAnsi="Arial" w:cs="Arial"/>
          <w:color w:val="333333"/>
          <w:kern w:val="0"/>
          <w:szCs w:val="21"/>
        </w:rPr>
        <w:t>技术服务合同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 xml:space="preserve">2. </w:t>
      </w:r>
      <w:r w:rsidRPr="00D37015">
        <w:rPr>
          <w:rFonts w:ascii="Arial" w:eastAsia="宋体" w:hAnsi="Arial" w:cs="Arial"/>
          <w:color w:val="333333"/>
          <w:kern w:val="0"/>
          <w:szCs w:val="21"/>
        </w:rPr>
        <w:t>技术培训合同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 xml:space="preserve">3. </w:t>
      </w:r>
      <w:r w:rsidRPr="00D37015">
        <w:rPr>
          <w:rFonts w:ascii="Arial" w:eastAsia="宋体" w:hAnsi="Arial" w:cs="Arial"/>
          <w:color w:val="333333"/>
          <w:kern w:val="0"/>
          <w:szCs w:val="21"/>
        </w:rPr>
        <w:t>技术中介合同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第五条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中华人民共和国合同法》分则部分所列的其他合同，不得按技术合同登记。但其合同标的中明显含有技术开发、转让、咨询或服务内容，其技术交易部分能独立成立并且合同当事人单独订立合同的，可以就其单独订立的合同申请认定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第六条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以技术入股方式订立的合同，可按技术转让合同认定登记。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以技术开发、转让、咨询或服务为内容的技术承包合同，可根据承包项目的性质和具体技术内容确定合同的类型，并予以认定登记。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第七条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当事人申请认定登记技术合同，应当向技术合同登记机构提交合同的书面文本。技术合同登记机构可以要求当事人一并出具与该合同有关的证明文件。当事人拒绝出具或者</w:t>
      </w:r>
      <w:r w:rsidRPr="00D37015">
        <w:rPr>
          <w:rFonts w:ascii="Arial" w:eastAsia="宋体" w:hAnsi="Arial" w:cs="Arial"/>
          <w:color w:val="333333"/>
          <w:kern w:val="0"/>
          <w:szCs w:val="21"/>
        </w:rPr>
        <w:lastRenderedPageBreak/>
        <w:t>所出具的证明文件不符合要求的，不予登记。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各技术合同登记机构应当向当事人推荐和介绍由科学技术部印制的《技术合同示范文本》，供当事人在签订技术合同时参照使用。</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第八条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应当是依法已经生效的合同。当事人以合同书形式订立的合同，自双方当事人签字或者盖章时成立。依法成立的合同，自成立时生效。法律、行政法规规定应当办理批准、登记等手续生效的，依照其规定，在批准、登记后生效，如专利申请权转让合同、专利权转让合同等。</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当事人为法人的技术合同，应当有其法定代表人或者其授权的人员在合同上签名或者盖章，并加盖法人的公章或者合同专用章；当事人为自然人的技术合同，应当有其本人在合同上签名或者盖章；当事人为其他组织的合同，应当有该组织负责人在合同上签名或者盖章，并加盖组织的印章。</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印章不齐备或者印章与书写名称不一致的，不予登记。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第九条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法人、其他组织的内部职能机构或课题组订立的技术合同申请认定登记的，应当在申请认定登记时提交其法定代表人或组织负责人的书面授权证明。</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第十条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当事人就承担国家科技计划项目而与有关计划主管部门或者项目执行部门订立的技术合同申请认定登记，符合《中华人民共和国合同法》的规定并附有有关计划主管部门或者项目执行部门的批准文件的，技术合同登记机构应予受理，并进行认定登记。</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t>第十一条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申请认定登记的技术合同，其标的范围不受行业、专业和科技领域限制。</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第十二条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申请认定登记的技术合同，其技术标的或内容不得违反国家有关法律法规的强制性规定和限制性要求。</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第十三条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技术合同标的涉及法律法规规定投产前需经有关部门审批或领取生产许可证的产品技术，当事人应当在办理有关审批手续或生</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产许可证后，持合同文本及有关批准文件申请认定登记。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第十四条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申请认定登记的合同涉及当事人商业秘密</w:t>
      </w:r>
      <w:r w:rsidRPr="00D37015">
        <w:rPr>
          <w:rFonts w:ascii="Arial" w:eastAsia="宋体" w:hAnsi="Arial" w:cs="Arial"/>
          <w:color w:val="333333"/>
          <w:kern w:val="0"/>
          <w:szCs w:val="21"/>
        </w:rPr>
        <w:t>(</w:t>
      </w:r>
      <w:r w:rsidRPr="00D37015">
        <w:rPr>
          <w:rFonts w:ascii="Arial" w:eastAsia="宋体" w:hAnsi="Arial" w:cs="Arial"/>
          <w:color w:val="333333"/>
          <w:kern w:val="0"/>
          <w:szCs w:val="21"/>
        </w:rPr>
        <w:t>包括经营信息和技术信息</w:t>
      </w:r>
      <w:r w:rsidRPr="00D37015">
        <w:rPr>
          <w:rFonts w:ascii="Arial" w:eastAsia="宋体" w:hAnsi="Arial" w:cs="Arial"/>
          <w:color w:val="333333"/>
          <w:kern w:val="0"/>
          <w:szCs w:val="21"/>
        </w:rPr>
        <w:t>)</w:t>
      </w:r>
      <w:r w:rsidRPr="00D37015">
        <w:rPr>
          <w:rFonts w:ascii="Arial" w:eastAsia="宋体" w:hAnsi="Arial" w:cs="Arial"/>
          <w:color w:val="333333"/>
          <w:kern w:val="0"/>
          <w:szCs w:val="21"/>
        </w:rPr>
        <w:t>的，当事人应当以书面方式向技术合同登记机构提出保密要求。</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当事人未提出保密要求，而所申请认定登记的合同中约定了当事人保密义务的，技术合同登记机构应当主动保守当事人有关的技术秘密，维护其合法权益。</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第十五条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申请认定登记的技术合同下列主要条款不明确的，不予登记：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合同主体不明确的；</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合同标的不明确，不能使登记人员了解其技术内容的；</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合同价款、报酬、使用费等约定不明确的。</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第十六条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约定担保条款</w:t>
      </w:r>
      <w:r w:rsidRPr="00D37015">
        <w:rPr>
          <w:rFonts w:ascii="Arial" w:eastAsia="宋体" w:hAnsi="Arial" w:cs="Arial"/>
          <w:color w:val="333333"/>
          <w:kern w:val="0"/>
          <w:szCs w:val="21"/>
        </w:rPr>
        <w:t>(</w:t>
      </w:r>
      <w:r w:rsidRPr="00D37015">
        <w:rPr>
          <w:rFonts w:ascii="Arial" w:eastAsia="宋体" w:hAnsi="Arial" w:cs="Arial"/>
          <w:color w:val="333333"/>
          <w:kern w:val="0"/>
          <w:szCs w:val="21"/>
        </w:rPr>
        <w:t>定金、抵押、保证等</w:t>
      </w:r>
      <w:r w:rsidRPr="00D37015">
        <w:rPr>
          <w:rFonts w:ascii="Arial" w:eastAsia="宋体" w:hAnsi="Arial" w:cs="Arial"/>
          <w:color w:val="333333"/>
          <w:kern w:val="0"/>
          <w:szCs w:val="21"/>
        </w:rPr>
        <w:t>)</w:t>
      </w:r>
      <w:r w:rsidRPr="00D37015">
        <w:rPr>
          <w:rFonts w:ascii="Arial" w:eastAsia="宋体" w:hAnsi="Arial" w:cs="Arial"/>
          <w:color w:val="333333"/>
          <w:kern w:val="0"/>
          <w:szCs w:val="21"/>
        </w:rPr>
        <w:t>并以此为合同成立条件的技术合同，申请认定登记时当事人担保义务尚未履行的，不予登记。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第十七条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申请认定登记的技术合同，合同名称与合同中的权利义务关系不一致的，技术合同登记机构应当要求当事人补正后重新申请认定登记；拒不补正的，不予登记。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第十八条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申请认定登记的技术合同，其合同条款含有下列非法垄断技术、妨碍技术进步等不合理限制条款的，不予登记：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一方限制另一方在合同标的技术的基础上进行新的研究开发的；</w:t>
      </w:r>
      <w:r w:rsidRPr="00D37015">
        <w:rPr>
          <w:rFonts w:ascii="Arial" w:eastAsia="宋体" w:hAnsi="Arial" w:cs="Arial"/>
          <w:color w:val="333333"/>
          <w:kern w:val="0"/>
          <w:szCs w:val="21"/>
        </w:rPr>
        <w:br/>
      </w:r>
      <w:r w:rsidRPr="00D37015">
        <w:rPr>
          <w:rFonts w:ascii="Arial" w:eastAsia="宋体" w:hAnsi="Arial" w:cs="Arial"/>
          <w:color w:val="333333"/>
          <w:kern w:val="0"/>
          <w:szCs w:val="21"/>
        </w:rPr>
        <w:lastRenderedPageBreak/>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一方强制性要求另一方在合同标的基础上研究开发所取得的科技成果及其知识产权</w:t>
      </w:r>
      <w:proofErr w:type="gramStart"/>
      <w:r w:rsidRPr="00D37015">
        <w:rPr>
          <w:rFonts w:ascii="Arial" w:eastAsia="宋体" w:hAnsi="Arial" w:cs="Arial"/>
          <w:color w:val="333333"/>
          <w:kern w:val="0"/>
          <w:szCs w:val="21"/>
        </w:rPr>
        <w:t>独占回</w:t>
      </w:r>
      <w:proofErr w:type="gramEnd"/>
      <w:r w:rsidRPr="00D37015">
        <w:rPr>
          <w:rFonts w:ascii="Arial" w:eastAsia="宋体" w:hAnsi="Arial" w:cs="Arial"/>
          <w:color w:val="333333"/>
          <w:kern w:val="0"/>
          <w:szCs w:val="21"/>
        </w:rPr>
        <w:t>授的；</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一方限制另一方从其他渠道吸收竞争技术的；</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四</w:t>
      </w:r>
      <w:r w:rsidRPr="00D37015">
        <w:rPr>
          <w:rFonts w:ascii="Arial" w:eastAsia="宋体" w:hAnsi="Arial" w:cs="Arial"/>
          <w:color w:val="333333"/>
          <w:kern w:val="0"/>
          <w:szCs w:val="21"/>
        </w:rPr>
        <w:t>)</w:t>
      </w:r>
      <w:r w:rsidRPr="00D37015">
        <w:rPr>
          <w:rFonts w:ascii="Arial" w:eastAsia="宋体" w:hAnsi="Arial" w:cs="Arial"/>
          <w:color w:val="333333"/>
          <w:kern w:val="0"/>
          <w:szCs w:val="21"/>
        </w:rPr>
        <w:t>一方限制另一方根据市场需求实施专利和使用技术秘密的。</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第十九条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申请认定登记的技术合同，当事人约定提交有关技术成果的载体，不得超出合理的数量范围。</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技术成果载体数量的合理范围，按以下原则认定：</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技术文件</w:t>
      </w:r>
      <w:r w:rsidRPr="00D37015">
        <w:rPr>
          <w:rFonts w:ascii="Arial" w:eastAsia="宋体" w:hAnsi="Arial" w:cs="Arial"/>
          <w:color w:val="333333"/>
          <w:kern w:val="0"/>
          <w:szCs w:val="21"/>
        </w:rPr>
        <w:t>(</w:t>
      </w:r>
      <w:r w:rsidRPr="00D37015">
        <w:rPr>
          <w:rFonts w:ascii="Arial" w:eastAsia="宋体" w:hAnsi="Arial" w:cs="Arial"/>
          <w:color w:val="333333"/>
          <w:kern w:val="0"/>
          <w:szCs w:val="21"/>
        </w:rPr>
        <w:t>包括技术方案、产品和工艺设计、工程设计图纸、试验报告及其他文字性技术资料</w:t>
      </w:r>
      <w:r w:rsidRPr="00D37015">
        <w:rPr>
          <w:rFonts w:ascii="Arial" w:eastAsia="宋体" w:hAnsi="Arial" w:cs="Arial"/>
          <w:color w:val="333333"/>
          <w:kern w:val="0"/>
          <w:szCs w:val="21"/>
        </w:rPr>
        <w:t>)</w:t>
      </w:r>
      <w:r w:rsidRPr="00D37015">
        <w:rPr>
          <w:rFonts w:ascii="Arial" w:eastAsia="宋体" w:hAnsi="Arial" w:cs="Arial"/>
          <w:color w:val="333333"/>
          <w:kern w:val="0"/>
          <w:szCs w:val="21"/>
        </w:rPr>
        <w:t>，以通常掌握该技术和必要存档所需份数为限；</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磁盘、光盘等软件性技术载体、动植物</w:t>
      </w:r>
      <w:r w:rsidRPr="00D37015">
        <w:rPr>
          <w:rFonts w:ascii="Arial" w:eastAsia="宋体" w:hAnsi="Arial" w:cs="Arial"/>
          <w:color w:val="333333"/>
          <w:kern w:val="0"/>
          <w:szCs w:val="21"/>
        </w:rPr>
        <w:t>(</w:t>
      </w:r>
      <w:r w:rsidRPr="00D37015">
        <w:rPr>
          <w:rFonts w:ascii="Arial" w:eastAsia="宋体" w:hAnsi="Arial" w:cs="Arial"/>
          <w:color w:val="333333"/>
          <w:kern w:val="0"/>
          <w:szCs w:val="21"/>
        </w:rPr>
        <w:t>包括转基因动植物</w:t>
      </w:r>
      <w:r w:rsidRPr="00D37015">
        <w:rPr>
          <w:rFonts w:ascii="Arial" w:eastAsia="宋体" w:hAnsi="Arial" w:cs="Arial"/>
          <w:color w:val="333333"/>
          <w:kern w:val="0"/>
          <w:szCs w:val="21"/>
        </w:rPr>
        <w:t>)</w:t>
      </w:r>
      <w:r w:rsidRPr="00D37015">
        <w:rPr>
          <w:rFonts w:ascii="Arial" w:eastAsia="宋体" w:hAnsi="Arial" w:cs="Arial"/>
          <w:color w:val="333333"/>
          <w:kern w:val="0"/>
          <w:szCs w:val="21"/>
        </w:rPr>
        <w:t>新品种、微生物菌种，以及样品、样机等产品技术和硬件性技术载体，以当事人进行必要试验和掌握、使用该技术所需数量为限；</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成套技术设备和试验装置一般限于</w:t>
      </w:r>
      <w:r w:rsidRPr="00D37015">
        <w:rPr>
          <w:rFonts w:ascii="Arial" w:eastAsia="宋体" w:hAnsi="Arial" w:cs="Arial"/>
          <w:color w:val="333333"/>
          <w:kern w:val="0"/>
          <w:szCs w:val="21"/>
        </w:rPr>
        <w:t>1-2</w:t>
      </w:r>
      <w:r w:rsidRPr="00D37015">
        <w:rPr>
          <w:rFonts w:ascii="Arial" w:eastAsia="宋体" w:hAnsi="Arial" w:cs="Arial"/>
          <w:color w:val="333333"/>
          <w:kern w:val="0"/>
          <w:szCs w:val="21"/>
        </w:rPr>
        <w:t>套。</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第二章</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技术开发合同</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t>第二十条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技术开发合同是当事人之间就新技术、新产品、新工艺、新材料、新品种及其系统的研究开发所订立的合同。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技术开发合同包括委托开发合同和合作开发合同。委托开发合同是一方当事人委托另一方当事人进行研究开发工作并提供相应研究开发经费和报酬所订立的技术开发合同。合作开发合同是当事人各方就共同进行研究开发工作所订立的技术开发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第二十一条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技术开发合同的认定条件是：</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有明确、具体的科学研究和技术开发目标；</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合同标的为当事人在订立合同时尚未掌握的技术方案；</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研究开发工作及其预期成果有相应的技术创新内容。</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第二十二条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单纯以揭示自然现象、规律和特征为目标的基础性研究项目所订立的合同，以及软科学研究项目所订立的合同，不予登记。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第二十三条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下列各项符合本规则第二十一条规定的，属于技术开发合同：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小试、中试技术成果的产业化开发项目；</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技术改造项目；</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成套技术设备和试验装置的技术改进项目；</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四</w:t>
      </w:r>
      <w:r w:rsidRPr="00D37015">
        <w:rPr>
          <w:rFonts w:ascii="Arial" w:eastAsia="宋体" w:hAnsi="Arial" w:cs="Arial"/>
          <w:color w:val="333333"/>
          <w:kern w:val="0"/>
          <w:szCs w:val="21"/>
        </w:rPr>
        <w:t>)</w:t>
      </w:r>
      <w:r w:rsidRPr="00D37015">
        <w:rPr>
          <w:rFonts w:ascii="Arial" w:eastAsia="宋体" w:hAnsi="Arial" w:cs="Arial"/>
          <w:color w:val="333333"/>
          <w:kern w:val="0"/>
          <w:szCs w:val="21"/>
        </w:rPr>
        <w:t>引进技术和设备消化、吸收基础上的创新开发项目；</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五</w:t>
      </w:r>
      <w:r w:rsidRPr="00D37015">
        <w:rPr>
          <w:rFonts w:ascii="Arial" w:eastAsia="宋体" w:hAnsi="Arial" w:cs="Arial"/>
          <w:color w:val="333333"/>
          <w:kern w:val="0"/>
          <w:szCs w:val="21"/>
        </w:rPr>
        <w:t>)</w:t>
      </w:r>
      <w:r w:rsidRPr="00D37015">
        <w:rPr>
          <w:rFonts w:ascii="Arial" w:eastAsia="宋体" w:hAnsi="Arial" w:cs="Arial"/>
          <w:color w:val="333333"/>
          <w:kern w:val="0"/>
          <w:szCs w:val="21"/>
        </w:rPr>
        <w:t>信息技术的研究开发项目，包括语言系统、过程控制、管理工程、特定专家系统、计算机辅助设计、计算机集成制造系统等，但软件复制和无原创性的程序编制的除外；</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六</w:t>
      </w:r>
      <w:r w:rsidRPr="00D37015">
        <w:rPr>
          <w:rFonts w:ascii="Arial" w:eastAsia="宋体" w:hAnsi="Arial" w:cs="Arial"/>
          <w:color w:val="333333"/>
          <w:kern w:val="0"/>
          <w:szCs w:val="21"/>
        </w:rPr>
        <w:t>)</w:t>
      </w:r>
      <w:r w:rsidRPr="00D37015">
        <w:rPr>
          <w:rFonts w:ascii="Arial" w:eastAsia="宋体" w:hAnsi="Arial" w:cs="Arial"/>
          <w:color w:val="333333"/>
          <w:kern w:val="0"/>
          <w:szCs w:val="21"/>
        </w:rPr>
        <w:t>自然资源的开发利用项目；</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七</w:t>
      </w:r>
      <w:r w:rsidRPr="00D37015">
        <w:rPr>
          <w:rFonts w:ascii="Arial" w:eastAsia="宋体" w:hAnsi="Arial" w:cs="Arial"/>
          <w:color w:val="333333"/>
          <w:kern w:val="0"/>
          <w:szCs w:val="21"/>
        </w:rPr>
        <w:t>)</w:t>
      </w:r>
      <w:r w:rsidRPr="00D37015">
        <w:rPr>
          <w:rFonts w:ascii="Arial" w:eastAsia="宋体" w:hAnsi="Arial" w:cs="Arial"/>
          <w:color w:val="333333"/>
          <w:kern w:val="0"/>
          <w:szCs w:val="21"/>
        </w:rPr>
        <w:t>治理污染、保护环境和生态项目；</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八</w:t>
      </w:r>
      <w:r w:rsidRPr="00D37015">
        <w:rPr>
          <w:rFonts w:ascii="Arial" w:eastAsia="宋体" w:hAnsi="Arial" w:cs="Arial"/>
          <w:color w:val="333333"/>
          <w:kern w:val="0"/>
          <w:szCs w:val="21"/>
        </w:rPr>
        <w:t>)</w:t>
      </w:r>
      <w:r w:rsidRPr="00D37015">
        <w:rPr>
          <w:rFonts w:ascii="Arial" w:eastAsia="宋体" w:hAnsi="Arial" w:cs="Arial"/>
          <w:color w:val="333333"/>
          <w:kern w:val="0"/>
          <w:szCs w:val="21"/>
        </w:rPr>
        <w:t>其他科技成果转化项目。</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前款各项中属一般设备维修、改装、常规的设计变更及其已有技术直接应用于产品生产的，不属于技术开发合同。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lastRenderedPageBreak/>
        <w:t xml:space="preserve">　　第二十四条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下列合同不属于技术开发合同：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合同标的为当事人已经掌握的技术方案，包括已完成产业化开发的产品、工艺、材料及其系统；</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合同标的为通过简单改变尺寸、参数、排列，或者通过类似技术手段的变换实现的产品改型、工艺变更以及材料配方调整；</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合同标的为一般检验、测试、鉴定、仿制和应用。</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第三章</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技术转让合同</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第二十五条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技术转让合同是当事人之间就专利权转让、专利申请权转让、专利实施许可、技术秘密转让所订立的下列合同：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专利权转让合同，是指一方当事人</w:t>
      </w:r>
      <w:r w:rsidRPr="00D37015">
        <w:rPr>
          <w:rFonts w:ascii="Arial" w:eastAsia="宋体" w:hAnsi="Arial" w:cs="Arial"/>
          <w:color w:val="333333"/>
          <w:kern w:val="0"/>
          <w:szCs w:val="21"/>
        </w:rPr>
        <w:t>(</w:t>
      </w:r>
      <w:r w:rsidRPr="00D37015">
        <w:rPr>
          <w:rFonts w:ascii="Arial" w:eastAsia="宋体" w:hAnsi="Arial" w:cs="Arial"/>
          <w:color w:val="333333"/>
          <w:kern w:val="0"/>
          <w:szCs w:val="21"/>
        </w:rPr>
        <w:t>让与方</w:t>
      </w:r>
      <w:r w:rsidRPr="00D37015">
        <w:rPr>
          <w:rFonts w:ascii="Arial" w:eastAsia="宋体" w:hAnsi="Arial" w:cs="Arial"/>
          <w:color w:val="333333"/>
          <w:kern w:val="0"/>
          <w:szCs w:val="21"/>
        </w:rPr>
        <w:t>)</w:t>
      </w:r>
      <w:r w:rsidRPr="00D37015">
        <w:rPr>
          <w:rFonts w:ascii="Arial" w:eastAsia="宋体" w:hAnsi="Arial" w:cs="Arial"/>
          <w:color w:val="333333"/>
          <w:kern w:val="0"/>
          <w:szCs w:val="21"/>
        </w:rPr>
        <w:t>将其发明创造专利权</w:t>
      </w:r>
      <w:proofErr w:type="gramStart"/>
      <w:r w:rsidRPr="00D37015">
        <w:rPr>
          <w:rFonts w:ascii="Arial" w:eastAsia="宋体" w:hAnsi="Arial" w:cs="Arial"/>
          <w:color w:val="333333"/>
          <w:kern w:val="0"/>
          <w:szCs w:val="21"/>
        </w:rPr>
        <w:t>转让受</w:t>
      </w:r>
      <w:proofErr w:type="gramEnd"/>
      <w:r w:rsidRPr="00D37015">
        <w:rPr>
          <w:rFonts w:ascii="Arial" w:eastAsia="宋体" w:hAnsi="Arial" w:cs="Arial"/>
          <w:color w:val="333333"/>
          <w:kern w:val="0"/>
          <w:szCs w:val="21"/>
        </w:rPr>
        <w:t>让方，受让方支付相应价款而订立的合同。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专利申请权转让合同，是指一方当事人</w:t>
      </w:r>
      <w:r w:rsidRPr="00D37015">
        <w:rPr>
          <w:rFonts w:ascii="Arial" w:eastAsia="宋体" w:hAnsi="Arial" w:cs="Arial"/>
          <w:color w:val="333333"/>
          <w:kern w:val="0"/>
          <w:szCs w:val="21"/>
        </w:rPr>
        <w:t>(</w:t>
      </w:r>
      <w:r w:rsidRPr="00D37015">
        <w:rPr>
          <w:rFonts w:ascii="Arial" w:eastAsia="宋体" w:hAnsi="Arial" w:cs="Arial"/>
          <w:color w:val="333333"/>
          <w:kern w:val="0"/>
          <w:szCs w:val="21"/>
        </w:rPr>
        <w:t>让与方</w:t>
      </w:r>
      <w:r w:rsidRPr="00D37015">
        <w:rPr>
          <w:rFonts w:ascii="Arial" w:eastAsia="宋体" w:hAnsi="Arial" w:cs="Arial"/>
          <w:color w:val="333333"/>
          <w:kern w:val="0"/>
          <w:szCs w:val="21"/>
        </w:rPr>
        <w:t>)</w:t>
      </w:r>
      <w:r w:rsidRPr="00D37015">
        <w:rPr>
          <w:rFonts w:ascii="Arial" w:eastAsia="宋体" w:hAnsi="Arial" w:cs="Arial"/>
          <w:color w:val="333333"/>
          <w:kern w:val="0"/>
          <w:szCs w:val="21"/>
        </w:rPr>
        <w:t>将其就特定的发明创造申请专利的权利</w:t>
      </w:r>
      <w:proofErr w:type="gramStart"/>
      <w:r w:rsidRPr="00D37015">
        <w:rPr>
          <w:rFonts w:ascii="Arial" w:eastAsia="宋体" w:hAnsi="Arial" w:cs="Arial"/>
          <w:color w:val="333333"/>
          <w:kern w:val="0"/>
          <w:szCs w:val="21"/>
        </w:rPr>
        <w:t>转让受</w:t>
      </w:r>
      <w:proofErr w:type="gramEnd"/>
      <w:r w:rsidRPr="00D37015">
        <w:rPr>
          <w:rFonts w:ascii="Arial" w:eastAsia="宋体" w:hAnsi="Arial" w:cs="Arial"/>
          <w:color w:val="333333"/>
          <w:kern w:val="0"/>
          <w:szCs w:val="21"/>
        </w:rPr>
        <w:t>让方，受让方支村相应价款而订立的合同。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专利实施许可合同，是指一方当事人</w:t>
      </w:r>
      <w:r w:rsidRPr="00D37015">
        <w:rPr>
          <w:rFonts w:ascii="Arial" w:eastAsia="宋体" w:hAnsi="Arial" w:cs="Arial"/>
          <w:color w:val="333333"/>
          <w:kern w:val="0"/>
          <w:szCs w:val="21"/>
        </w:rPr>
        <w:t>(</w:t>
      </w:r>
      <w:r w:rsidRPr="00D37015">
        <w:rPr>
          <w:rFonts w:ascii="Arial" w:eastAsia="宋体" w:hAnsi="Arial" w:cs="Arial"/>
          <w:color w:val="333333"/>
          <w:kern w:val="0"/>
          <w:szCs w:val="21"/>
        </w:rPr>
        <w:t>让与方、专利权人或者其授权的人</w:t>
      </w:r>
      <w:r w:rsidRPr="00D37015">
        <w:rPr>
          <w:rFonts w:ascii="Arial" w:eastAsia="宋体" w:hAnsi="Arial" w:cs="Arial"/>
          <w:color w:val="333333"/>
          <w:kern w:val="0"/>
          <w:szCs w:val="21"/>
        </w:rPr>
        <w:t>)</w:t>
      </w:r>
      <w:r w:rsidRPr="00D37015">
        <w:rPr>
          <w:rFonts w:ascii="Arial" w:eastAsia="宋体" w:hAnsi="Arial" w:cs="Arial"/>
          <w:color w:val="333333"/>
          <w:kern w:val="0"/>
          <w:szCs w:val="21"/>
        </w:rPr>
        <w:t>许可受让方在约定的范围内实施专利，受让方支付相应的使用费而订立的合同。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四</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技术秘密转让合同，是指一方当事人</w:t>
      </w:r>
      <w:r w:rsidRPr="00D37015">
        <w:rPr>
          <w:rFonts w:ascii="Arial" w:eastAsia="宋体" w:hAnsi="Arial" w:cs="Arial"/>
          <w:color w:val="333333"/>
          <w:kern w:val="0"/>
          <w:szCs w:val="21"/>
        </w:rPr>
        <w:t>(</w:t>
      </w:r>
      <w:r w:rsidRPr="00D37015">
        <w:rPr>
          <w:rFonts w:ascii="Arial" w:eastAsia="宋体" w:hAnsi="Arial" w:cs="Arial"/>
          <w:color w:val="333333"/>
          <w:kern w:val="0"/>
          <w:szCs w:val="21"/>
        </w:rPr>
        <w:t>让与方</w:t>
      </w:r>
      <w:r w:rsidRPr="00D37015">
        <w:rPr>
          <w:rFonts w:ascii="Arial" w:eastAsia="宋体" w:hAnsi="Arial" w:cs="Arial"/>
          <w:color w:val="333333"/>
          <w:kern w:val="0"/>
          <w:szCs w:val="21"/>
        </w:rPr>
        <w:t>)</w:t>
      </w:r>
      <w:r w:rsidRPr="00D37015">
        <w:rPr>
          <w:rFonts w:ascii="Arial" w:eastAsia="宋体" w:hAnsi="Arial" w:cs="Arial"/>
          <w:color w:val="333333"/>
          <w:kern w:val="0"/>
          <w:szCs w:val="21"/>
        </w:rPr>
        <w:t>将其拥有的技术秘密提供给受让方，明确相互之间技术秘密使用权、转让权，受让方支付相应使用费而订立的合同。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第二十六条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技术转让合同的认定条件是：</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合同标的为当事人订立合同时已经掌握的技术成果，包括发明创造专利、技术秘密及其他知识产权成果；</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合同标的具有完整性和实用性，相关技术内容应构成一项产品、工艺、材料、品种及其改进的技术方案；</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当事人对合同标的有明确的知识产权权属约定。</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第二十七条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当事人就植物新品种权转让和实施许可、集成电路布图设计权转让与许可订立的合同，按技术转让合同认定登记。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第二十八条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当事人就技术进出口项目订立的合同，可参照技术转让合同予以认定登记。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第二十九条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其标的涉及专利申请权、专利权、植物新品种权、集成电路布图设计权的，当事人应当提交相应的知识产权权利证书复印件。无相应证书复印件或者在有关知识产权终止、被宣告无效后申请认定登记的，不予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申请认定登记的技术合同，其标的涉及计算机软件著作权的，可以提示当事人提供计算机软件著作权登记证明的复印件。</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第三十条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申请认定登记的技术合同，其标的为技术秘密的，该项技术秘密应同时具备以下条件：</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不为公众所知悉；</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能为权利人带来经济利益；</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具有实用性；</w:t>
      </w:r>
      <w:r w:rsidRPr="00D37015">
        <w:rPr>
          <w:rFonts w:ascii="Arial" w:eastAsia="宋体" w:hAnsi="Arial" w:cs="Arial"/>
          <w:color w:val="333333"/>
          <w:kern w:val="0"/>
          <w:szCs w:val="21"/>
        </w:rPr>
        <w:br/>
      </w:r>
      <w:r w:rsidRPr="00D37015">
        <w:rPr>
          <w:rFonts w:ascii="Arial" w:eastAsia="宋体" w:hAnsi="Arial" w:cs="Arial"/>
          <w:color w:val="333333"/>
          <w:kern w:val="0"/>
          <w:szCs w:val="21"/>
        </w:rPr>
        <w:lastRenderedPageBreak/>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四</w:t>
      </w:r>
      <w:r w:rsidRPr="00D37015">
        <w:rPr>
          <w:rFonts w:ascii="Arial" w:eastAsia="宋体" w:hAnsi="Arial" w:cs="Arial"/>
          <w:color w:val="333333"/>
          <w:kern w:val="0"/>
          <w:szCs w:val="21"/>
        </w:rPr>
        <w:t>)</w:t>
      </w:r>
      <w:r w:rsidRPr="00D37015">
        <w:rPr>
          <w:rFonts w:ascii="Arial" w:eastAsia="宋体" w:hAnsi="Arial" w:cs="Arial"/>
          <w:color w:val="333333"/>
          <w:kern w:val="0"/>
          <w:szCs w:val="21"/>
        </w:rPr>
        <w:t>权利人采取了保密措施。</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前款技术秘密可以含有公知技术成分或者部分公知技术的组合。但其全部或者实质性部分已经公开，即可以直接从公共信息渠道中直</w:t>
      </w:r>
      <w:proofErr w:type="gramStart"/>
      <w:r w:rsidRPr="00D37015">
        <w:rPr>
          <w:rFonts w:ascii="Arial" w:eastAsia="宋体" w:hAnsi="Arial" w:cs="Arial"/>
          <w:color w:val="333333"/>
          <w:kern w:val="0"/>
          <w:szCs w:val="21"/>
        </w:rPr>
        <w:t>接得到</w:t>
      </w:r>
      <w:proofErr w:type="gramEnd"/>
      <w:r w:rsidRPr="00D37015">
        <w:rPr>
          <w:rFonts w:ascii="Arial" w:eastAsia="宋体" w:hAnsi="Arial" w:cs="Arial"/>
          <w:color w:val="333333"/>
          <w:kern w:val="0"/>
          <w:szCs w:val="21"/>
        </w:rPr>
        <w:t>的，不应认定为技术转让合同。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第三十一条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申请认定登记的技术合同，其合同标的为进入公有领域的知识、技术、经验和信息等</w:t>
      </w:r>
      <w:r w:rsidRPr="00D37015">
        <w:rPr>
          <w:rFonts w:ascii="Arial" w:eastAsia="宋体" w:hAnsi="Arial" w:cs="Arial"/>
          <w:color w:val="333333"/>
          <w:kern w:val="0"/>
          <w:szCs w:val="21"/>
        </w:rPr>
        <w:t>(</w:t>
      </w:r>
      <w:r w:rsidRPr="00D37015">
        <w:rPr>
          <w:rFonts w:ascii="Arial" w:eastAsia="宋体" w:hAnsi="Arial" w:cs="Arial"/>
          <w:color w:val="333333"/>
          <w:kern w:val="0"/>
          <w:szCs w:val="21"/>
        </w:rPr>
        <w:t>如专利权或有关知识产权已经终止的技术成果</w:t>
      </w:r>
      <w:r w:rsidRPr="00D37015">
        <w:rPr>
          <w:rFonts w:ascii="Arial" w:eastAsia="宋体" w:hAnsi="Arial" w:cs="Arial"/>
          <w:color w:val="333333"/>
          <w:kern w:val="0"/>
          <w:szCs w:val="21"/>
        </w:rPr>
        <w:t>)</w:t>
      </w:r>
      <w:r w:rsidRPr="00D37015">
        <w:rPr>
          <w:rFonts w:ascii="Arial" w:eastAsia="宋体" w:hAnsi="Arial" w:cs="Arial"/>
          <w:color w:val="333333"/>
          <w:kern w:val="0"/>
          <w:szCs w:val="21"/>
        </w:rPr>
        <w:t>，或者技术秘密转让未约定使用权、转让权归属的，不应认定为技术转让合同。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前款合同标的符合技术咨询合同、技术服务合同条件的，可由当事人补正后，按技术咨询合同、技术服务合同重新申请认定登记。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第三十二条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申请认定登记的技术合同，其合同标的仅为高新技术产品交易，不包含技术转让成分的，不应认定为技术转让合同。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随高新技术产品提供用户的有关产品性能和使用方法等商业性说明材料，也不属于技术成果文件。</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第四章</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技术咨询合同</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第三十三条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技术咨询合同是一方当事人</w:t>
      </w:r>
      <w:r w:rsidRPr="00D37015">
        <w:rPr>
          <w:rFonts w:ascii="Arial" w:eastAsia="宋体" w:hAnsi="Arial" w:cs="Arial"/>
          <w:color w:val="333333"/>
          <w:kern w:val="0"/>
          <w:szCs w:val="21"/>
        </w:rPr>
        <w:t>(</w:t>
      </w:r>
      <w:r w:rsidRPr="00D37015">
        <w:rPr>
          <w:rFonts w:ascii="Arial" w:eastAsia="宋体" w:hAnsi="Arial" w:cs="Arial"/>
          <w:color w:val="333333"/>
          <w:kern w:val="0"/>
          <w:szCs w:val="21"/>
        </w:rPr>
        <w:t>受托方</w:t>
      </w:r>
      <w:r w:rsidRPr="00D37015">
        <w:rPr>
          <w:rFonts w:ascii="Arial" w:eastAsia="宋体" w:hAnsi="Arial" w:cs="Arial"/>
          <w:color w:val="333333"/>
          <w:kern w:val="0"/>
          <w:szCs w:val="21"/>
        </w:rPr>
        <w:t>)</w:t>
      </w:r>
      <w:r w:rsidRPr="00D37015">
        <w:rPr>
          <w:rFonts w:ascii="Arial" w:eastAsia="宋体" w:hAnsi="Arial" w:cs="Arial"/>
          <w:color w:val="333333"/>
          <w:kern w:val="0"/>
          <w:szCs w:val="21"/>
        </w:rPr>
        <w:t>为另一方</w:t>
      </w:r>
      <w:r w:rsidRPr="00D37015">
        <w:rPr>
          <w:rFonts w:ascii="Arial" w:eastAsia="宋体" w:hAnsi="Arial" w:cs="Arial"/>
          <w:color w:val="333333"/>
          <w:kern w:val="0"/>
          <w:szCs w:val="21"/>
        </w:rPr>
        <w:t>(</w:t>
      </w:r>
      <w:r w:rsidRPr="00D37015">
        <w:rPr>
          <w:rFonts w:ascii="Arial" w:eastAsia="宋体" w:hAnsi="Arial" w:cs="Arial"/>
          <w:color w:val="333333"/>
          <w:kern w:val="0"/>
          <w:szCs w:val="21"/>
        </w:rPr>
        <w:t>委托方</w:t>
      </w:r>
      <w:r w:rsidRPr="00D37015">
        <w:rPr>
          <w:rFonts w:ascii="Arial" w:eastAsia="宋体" w:hAnsi="Arial" w:cs="Arial"/>
          <w:color w:val="333333"/>
          <w:kern w:val="0"/>
          <w:szCs w:val="21"/>
        </w:rPr>
        <w:t>)</w:t>
      </w:r>
      <w:r w:rsidRPr="00D37015">
        <w:rPr>
          <w:rFonts w:ascii="Arial" w:eastAsia="宋体" w:hAnsi="Arial" w:cs="Arial"/>
          <w:color w:val="333333"/>
          <w:kern w:val="0"/>
          <w:szCs w:val="21"/>
        </w:rPr>
        <w:t>就特定技术项目提供可行性论证、技术预测、专题技术调查、分析评价所订立的合同。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第三十四条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技术咨询合同的认定条件是：</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合同标的为特定技术项目的咨询课题；</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咨询方式为运用科学知识和技术手段进行的分析、论证、评价和预测；</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工作成果是为委托方提供科技咨询报告和意见。</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第三十五条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下列各项符合本规则第三十四条规定的，属于技术咨询合同：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科学发展战略和规划的研究；</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技术政策和技术路线选择的研究；</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重大工程项目、研究开发项目、科技成果转化项目、重要技术改造和科技成果推广项目等的可行性分析；</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四</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技术成果、重大工程和特定技术系统的技术评估；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五</w:t>
      </w:r>
      <w:r w:rsidRPr="00D37015">
        <w:rPr>
          <w:rFonts w:ascii="Arial" w:eastAsia="宋体" w:hAnsi="Arial" w:cs="Arial"/>
          <w:color w:val="333333"/>
          <w:kern w:val="0"/>
          <w:szCs w:val="21"/>
        </w:rPr>
        <w:t>)</w:t>
      </w:r>
      <w:r w:rsidRPr="00D37015">
        <w:rPr>
          <w:rFonts w:ascii="Arial" w:eastAsia="宋体" w:hAnsi="Arial" w:cs="Arial"/>
          <w:color w:val="333333"/>
          <w:kern w:val="0"/>
          <w:szCs w:val="21"/>
        </w:rPr>
        <w:t>特定技术领域、行业、专业技术发展的技术预测；</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六</w:t>
      </w:r>
      <w:r w:rsidRPr="00D37015">
        <w:rPr>
          <w:rFonts w:ascii="Arial" w:eastAsia="宋体" w:hAnsi="Arial" w:cs="Arial"/>
          <w:color w:val="333333"/>
          <w:kern w:val="0"/>
          <w:szCs w:val="21"/>
        </w:rPr>
        <w:t>)</w:t>
      </w:r>
      <w:r w:rsidRPr="00D37015">
        <w:rPr>
          <w:rFonts w:ascii="Arial" w:eastAsia="宋体" w:hAnsi="Arial" w:cs="Arial"/>
          <w:color w:val="333333"/>
          <w:kern w:val="0"/>
          <w:szCs w:val="21"/>
        </w:rPr>
        <w:t>就区域、产业科技开发与创新及特定技术项目进行的技术调查、分析与论证；</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七</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技术产品、服务、工艺分析和技术方案的比较与选择；</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八</w:t>
      </w:r>
      <w:r w:rsidRPr="00D37015">
        <w:rPr>
          <w:rFonts w:ascii="Arial" w:eastAsia="宋体" w:hAnsi="Arial" w:cs="Arial"/>
          <w:color w:val="333333"/>
          <w:kern w:val="0"/>
          <w:szCs w:val="21"/>
        </w:rPr>
        <w:t>)</w:t>
      </w:r>
      <w:r w:rsidRPr="00D37015">
        <w:rPr>
          <w:rFonts w:ascii="Arial" w:eastAsia="宋体" w:hAnsi="Arial" w:cs="Arial"/>
          <w:color w:val="333333"/>
          <w:kern w:val="0"/>
          <w:szCs w:val="21"/>
        </w:rPr>
        <w:t>专用设施、设备、仪器、装置及技术系统的技术性能分析；</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九</w:t>
      </w:r>
      <w:r w:rsidRPr="00D37015">
        <w:rPr>
          <w:rFonts w:ascii="Arial" w:eastAsia="宋体" w:hAnsi="Arial" w:cs="Arial"/>
          <w:color w:val="333333"/>
          <w:kern w:val="0"/>
          <w:szCs w:val="21"/>
        </w:rPr>
        <w:t>)</w:t>
      </w:r>
      <w:r w:rsidRPr="00D37015">
        <w:rPr>
          <w:rFonts w:ascii="Arial" w:eastAsia="宋体" w:hAnsi="Arial" w:cs="Arial"/>
          <w:color w:val="333333"/>
          <w:kern w:val="0"/>
          <w:szCs w:val="21"/>
        </w:rPr>
        <w:t>科技评估和技术查新项目。</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前款项目中涉及新的技术成果研究开发或现有技术成果转让的，可根据其技术内容的比重确定合同性质，分别认定为技术开发合同、技术转让合同或者技术咨询合同。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第三十六条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申请认定登记的技术合同，其标的为大、中型建设工程项目前期技术分析论证的，可以认定为技术咨询合同。但属于建设工程承包合同一部分、不能独立成立的情况除外。</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第三十七条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就解决特定技术项目提出实施方案，进行技术服务和实施指导所订立的合</w:t>
      </w:r>
      <w:r w:rsidRPr="00D37015">
        <w:rPr>
          <w:rFonts w:ascii="Arial" w:eastAsia="宋体" w:hAnsi="Arial" w:cs="Arial"/>
          <w:color w:val="333333"/>
          <w:kern w:val="0"/>
          <w:szCs w:val="21"/>
        </w:rPr>
        <w:lastRenderedPageBreak/>
        <w:t>同，不属于技术咨询合同。符合技术服务合同条件的，可退回当事人补正后，按技术服务合同重新申请认定登记。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第三十八条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下列合同不属于技术咨询合同：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就经济分析、法律咨询、社会发展项目的论证、评价和调查所订立的合同；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就购买设备、仪器、原材料、配套产品等提供商业信息所订立的合同。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第五章技术服务合同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第三十九条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技术服务合同是一方当事人</w:t>
      </w:r>
      <w:r w:rsidRPr="00D37015">
        <w:rPr>
          <w:rFonts w:ascii="Arial" w:eastAsia="宋体" w:hAnsi="Arial" w:cs="Arial"/>
          <w:color w:val="333333"/>
          <w:kern w:val="0"/>
          <w:szCs w:val="21"/>
        </w:rPr>
        <w:t>(</w:t>
      </w:r>
      <w:r w:rsidRPr="00D37015">
        <w:rPr>
          <w:rFonts w:ascii="Arial" w:eastAsia="宋体" w:hAnsi="Arial" w:cs="Arial"/>
          <w:color w:val="333333"/>
          <w:kern w:val="0"/>
          <w:szCs w:val="21"/>
        </w:rPr>
        <w:t>受托方</w:t>
      </w:r>
      <w:r w:rsidRPr="00D37015">
        <w:rPr>
          <w:rFonts w:ascii="Arial" w:eastAsia="宋体" w:hAnsi="Arial" w:cs="Arial"/>
          <w:color w:val="333333"/>
          <w:kern w:val="0"/>
          <w:szCs w:val="21"/>
        </w:rPr>
        <w:t>)</w:t>
      </w:r>
      <w:r w:rsidRPr="00D37015">
        <w:rPr>
          <w:rFonts w:ascii="Arial" w:eastAsia="宋体" w:hAnsi="Arial" w:cs="Arial"/>
          <w:color w:val="333333"/>
          <w:kern w:val="0"/>
          <w:szCs w:val="21"/>
        </w:rPr>
        <w:t>以技术知识为另一方</w:t>
      </w:r>
      <w:r w:rsidRPr="00D37015">
        <w:rPr>
          <w:rFonts w:ascii="Arial" w:eastAsia="宋体" w:hAnsi="Arial" w:cs="Arial"/>
          <w:color w:val="333333"/>
          <w:kern w:val="0"/>
          <w:szCs w:val="21"/>
        </w:rPr>
        <w:t>(</w:t>
      </w:r>
      <w:r w:rsidRPr="00D37015">
        <w:rPr>
          <w:rFonts w:ascii="Arial" w:eastAsia="宋体" w:hAnsi="Arial" w:cs="Arial"/>
          <w:color w:val="333333"/>
          <w:kern w:val="0"/>
          <w:szCs w:val="21"/>
        </w:rPr>
        <w:t>委托方</w:t>
      </w:r>
      <w:r w:rsidRPr="00D37015">
        <w:rPr>
          <w:rFonts w:ascii="Arial" w:eastAsia="宋体" w:hAnsi="Arial" w:cs="Arial"/>
          <w:color w:val="333333"/>
          <w:kern w:val="0"/>
          <w:szCs w:val="21"/>
        </w:rPr>
        <w:t>)</w:t>
      </w:r>
      <w:r w:rsidRPr="00D37015">
        <w:rPr>
          <w:rFonts w:ascii="Arial" w:eastAsia="宋体" w:hAnsi="Arial" w:cs="Arial"/>
          <w:color w:val="333333"/>
          <w:kern w:val="0"/>
          <w:szCs w:val="21"/>
        </w:rPr>
        <w:t>解决特定技术问题所订立的合同。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第四十条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技术服务合同的认定条件是：</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合同的标的为运用专业技术知识、经验和信息解决特定技术问题的服务性项目；</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服务内容为改进产品结构、改良工艺流程、提高产品质量、降低产品成本、节约资源能耗、保护资源环境、实现安全操作、提高经济效益和社会效益等专业技术工作；</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工作成果有具体的质量和数量指标；</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四</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技术知识的传递不涉及专利、技术秘密成果及其他知识产权的权属。</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第四十一条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下列各项符合本规则第四十条规定，且该专业技术项目有明确技术问题和解决难度的，属于技术服务合同：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产品设计服务，包括关键零部件、国产化配套件、</w:t>
      </w:r>
      <w:proofErr w:type="gramStart"/>
      <w:r w:rsidRPr="00D37015">
        <w:rPr>
          <w:rFonts w:ascii="Arial" w:eastAsia="宋体" w:hAnsi="Arial" w:cs="Arial"/>
          <w:color w:val="333333"/>
          <w:kern w:val="0"/>
          <w:szCs w:val="21"/>
        </w:rPr>
        <w:t>专用工</w:t>
      </w:r>
      <w:proofErr w:type="gramEnd"/>
      <w:r w:rsidRPr="00D37015">
        <w:rPr>
          <w:rFonts w:ascii="Arial" w:eastAsia="宋体" w:hAnsi="Arial" w:cs="Arial"/>
          <w:color w:val="333333"/>
          <w:kern w:val="0"/>
          <w:szCs w:val="21"/>
        </w:rPr>
        <w:t>模量具及工装设计和具有特殊技术要求的非标准设备的设计，以及其他改进产品结构的设计；</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工艺服务，包括有特殊技术要求的工艺编制、新产品试制中的工艺技术指导，以及其他工艺流程的改进设计；</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测试分析服务，包括有特殊技术要求的技术成果测试分析，新产品、新材料、植物新品种性能的测试分析，以及其他非标准化的测试分析；</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四</w:t>
      </w:r>
      <w:r w:rsidRPr="00D37015">
        <w:rPr>
          <w:rFonts w:ascii="Arial" w:eastAsia="宋体" w:hAnsi="Arial" w:cs="Arial"/>
          <w:color w:val="333333"/>
          <w:kern w:val="0"/>
          <w:szCs w:val="21"/>
        </w:rPr>
        <w:t>)</w:t>
      </w:r>
      <w:r w:rsidRPr="00D37015">
        <w:rPr>
          <w:rFonts w:ascii="Arial" w:eastAsia="宋体" w:hAnsi="Arial" w:cs="Arial"/>
          <w:color w:val="333333"/>
          <w:kern w:val="0"/>
          <w:szCs w:val="21"/>
        </w:rPr>
        <w:t>计算机技术应用服务，包括计算机硬件、软件、嵌入式系统、计算机网络技术的应用服务，计算机辅助设计系统</w:t>
      </w:r>
      <w:r w:rsidRPr="00D37015">
        <w:rPr>
          <w:rFonts w:ascii="Arial" w:eastAsia="宋体" w:hAnsi="Arial" w:cs="Arial"/>
          <w:color w:val="333333"/>
          <w:kern w:val="0"/>
          <w:szCs w:val="21"/>
        </w:rPr>
        <w:t>(CAD)</w:t>
      </w:r>
      <w:r w:rsidRPr="00D37015">
        <w:rPr>
          <w:rFonts w:ascii="Arial" w:eastAsia="宋体" w:hAnsi="Arial" w:cs="Arial"/>
          <w:color w:val="333333"/>
          <w:kern w:val="0"/>
          <w:szCs w:val="21"/>
        </w:rPr>
        <w:t>和计算机集成制造系统</w:t>
      </w:r>
      <w:r w:rsidRPr="00D37015">
        <w:rPr>
          <w:rFonts w:ascii="Arial" w:eastAsia="宋体" w:hAnsi="Arial" w:cs="Arial"/>
          <w:color w:val="333333"/>
          <w:kern w:val="0"/>
          <w:szCs w:val="21"/>
        </w:rPr>
        <w:t>(CIMS)</w:t>
      </w:r>
      <w:r w:rsidRPr="00D37015">
        <w:rPr>
          <w:rFonts w:ascii="Arial" w:eastAsia="宋体" w:hAnsi="Arial" w:cs="Arial"/>
          <w:color w:val="333333"/>
          <w:kern w:val="0"/>
          <w:szCs w:val="21"/>
        </w:rPr>
        <w:t>的推广、应用和技术指导等；</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五</w:t>
      </w:r>
      <w:r w:rsidRPr="00D37015">
        <w:rPr>
          <w:rFonts w:ascii="Arial" w:eastAsia="宋体" w:hAnsi="Arial" w:cs="Arial"/>
          <w:color w:val="333333"/>
          <w:kern w:val="0"/>
          <w:szCs w:val="21"/>
        </w:rPr>
        <w:t>)</w:t>
      </w:r>
      <w:r w:rsidRPr="00D37015">
        <w:rPr>
          <w:rFonts w:ascii="Arial" w:eastAsia="宋体" w:hAnsi="Arial" w:cs="Arial"/>
          <w:color w:val="333333"/>
          <w:kern w:val="0"/>
          <w:szCs w:val="21"/>
        </w:rPr>
        <w:t>新型或者复杂生产线的调试及技术指导；</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六</w:t>
      </w:r>
      <w:r w:rsidRPr="00D37015">
        <w:rPr>
          <w:rFonts w:ascii="Arial" w:eastAsia="宋体" w:hAnsi="Arial" w:cs="Arial"/>
          <w:color w:val="333333"/>
          <w:kern w:val="0"/>
          <w:szCs w:val="21"/>
        </w:rPr>
        <w:t>)</w:t>
      </w:r>
      <w:r w:rsidRPr="00D37015">
        <w:rPr>
          <w:rFonts w:ascii="Arial" w:eastAsia="宋体" w:hAnsi="Arial" w:cs="Arial"/>
          <w:color w:val="333333"/>
          <w:kern w:val="0"/>
          <w:szCs w:val="21"/>
        </w:rPr>
        <w:t>特定技术项目的信息加工、分析和检索；</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七</w:t>
      </w:r>
      <w:r w:rsidRPr="00D37015">
        <w:rPr>
          <w:rFonts w:ascii="Arial" w:eastAsia="宋体" w:hAnsi="Arial" w:cs="Arial"/>
          <w:color w:val="333333"/>
          <w:kern w:val="0"/>
          <w:szCs w:val="21"/>
        </w:rPr>
        <w:t>)</w:t>
      </w:r>
      <w:r w:rsidRPr="00D37015">
        <w:rPr>
          <w:rFonts w:ascii="Arial" w:eastAsia="宋体" w:hAnsi="Arial" w:cs="Arial"/>
          <w:color w:val="333333"/>
          <w:kern w:val="0"/>
          <w:szCs w:val="21"/>
        </w:rPr>
        <w:t>农业的产前、产中、产后技术服务，包括为技术成果推广，以及为提高农业产量、品质、发展新品种、降低消耗、提高经济效益和社会效益的有关技术服务。</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八</w:t>
      </w:r>
      <w:r w:rsidRPr="00D37015">
        <w:rPr>
          <w:rFonts w:ascii="Arial" w:eastAsia="宋体" w:hAnsi="Arial" w:cs="Arial"/>
          <w:color w:val="333333"/>
          <w:kern w:val="0"/>
          <w:szCs w:val="21"/>
        </w:rPr>
        <w:t>)</w:t>
      </w:r>
      <w:r w:rsidRPr="00D37015">
        <w:rPr>
          <w:rFonts w:ascii="Arial" w:eastAsia="宋体" w:hAnsi="Arial" w:cs="Arial"/>
          <w:color w:val="333333"/>
          <w:kern w:val="0"/>
          <w:szCs w:val="21"/>
        </w:rPr>
        <w:t>为特殊产品技术标准的制订；</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九</w:t>
      </w:r>
      <w:r w:rsidRPr="00D37015">
        <w:rPr>
          <w:rFonts w:ascii="Arial" w:eastAsia="宋体" w:hAnsi="Arial" w:cs="Arial"/>
          <w:color w:val="333333"/>
          <w:kern w:val="0"/>
          <w:szCs w:val="21"/>
        </w:rPr>
        <w:t>)</w:t>
      </w:r>
      <w:r w:rsidRPr="00D37015">
        <w:rPr>
          <w:rFonts w:ascii="Arial" w:eastAsia="宋体" w:hAnsi="Arial" w:cs="Arial"/>
          <w:color w:val="333333"/>
          <w:kern w:val="0"/>
          <w:szCs w:val="21"/>
        </w:rPr>
        <w:t>对动植物细胞植入特定基因、进行基因重组；</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十</w:t>
      </w:r>
      <w:r w:rsidRPr="00D37015">
        <w:rPr>
          <w:rFonts w:ascii="Arial" w:eastAsia="宋体" w:hAnsi="Arial" w:cs="Arial"/>
          <w:color w:val="333333"/>
          <w:kern w:val="0"/>
          <w:szCs w:val="21"/>
        </w:rPr>
        <w:t>)</w:t>
      </w:r>
      <w:r w:rsidRPr="00D37015">
        <w:rPr>
          <w:rFonts w:ascii="Arial" w:eastAsia="宋体" w:hAnsi="Arial" w:cs="Arial"/>
          <w:color w:val="333333"/>
          <w:kern w:val="0"/>
          <w:szCs w:val="21"/>
        </w:rPr>
        <w:t>对重大事故进行定性定量技术分析；</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十一</w:t>
      </w:r>
      <w:r w:rsidRPr="00D37015">
        <w:rPr>
          <w:rFonts w:ascii="Arial" w:eastAsia="宋体" w:hAnsi="Arial" w:cs="Arial"/>
          <w:color w:val="333333"/>
          <w:kern w:val="0"/>
          <w:szCs w:val="21"/>
        </w:rPr>
        <w:t>)</w:t>
      </w:r>
      <w:r w:rsidRPr="00D37015">
        <w:rPr>
          <w:rFonts w:ascii="Arial" w:eastAsia="宋体" w:hAnsi="Arial" w:cs="Arial"/>
          <w:color w:val="333333"/>
          <w:kern w:val="0"/>
          <w:szCs w:val="21"/>
        </w:rPr>
        <w:t>为重大科技成果进行定性定量技术鉴定或者评价。</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前款各项属于当事人一般日常经营业务范围的，不应认定为技术服务合同。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第四十二条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下列合同不属于技术服务合同：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以常规手段或者为生产经营目的进行一般加工、</w:t>
      </w:r>
      <w:proofErr w:type="gramStart"/>
      <w:r w:rsidRPr="00D37015">
        <w:rPr>
          <w:rFonts w:ascii="Arial" w:eastAsia="宋体" w:hAnsi="Arial" w:cs="Arial"/>
          <w:color w:val="333333"/>
          <w:kern w:val="0"/>
          <w:szCs w:val="21"/>
        </w:rPr>
        <w:t>定作</w:t>
      </w:r>
      <w:proofErr w:type="gramEnd"/>
      <w:r w:rsidRPr="00D37015">
        <w:rPr>
          <w:rFonts w:ascii="Arial" w:eastAsia="宋体" w:hAnsi="Arial" w:cs="Arial"/>
          <w:color w:val="333333"/>
          <w:kern w:val="0"/>
          <w:szCs w:val="21"/>
        </w:rPr>
        <w:t>、修理、修缮、广告、印刷、测绘、标准化测试等订立的加工承揽合同和建设工程的勘察、设计、安装、施工、监理合同。但以非常规技术手段，解决复杂、特殊技术问题而单独订立的合同除外。</w:t>
      </w:r>
      <w:r w:rsidRPr="00D37015">
        <w:rPr>
          <w:rFonts w:ascii="Arial" w:eastAsia="宋体" w:hAnsi="Arial" w:cs="Arial"/>
          <w:color w:val="333333"/>
          <w:kern w:val="0"/>
          <w:szCs w:val="21"/>
        </w:rPr>
        <w:br/>
      </w:r>
      <w:r w:rsidRPr="00D37015">
        <w:rPr>
          <w:rFonts w:ascii="Arial" w:eastAsia="宋体" w:hAnsi="Arial" w:cs="Arial"/>
          <w:color w:val="333333"/>
          <w:kern w:val="0"/>
          <w:szCs w:val="21"/>
        </w:rPr>
        <w:lastRenderedPageBreak/>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就描晒复印</w:t>
      </w:r>
      <w:proofErr w:type="gramEnd"/>
      <w:r w:rsidRPr="00D37015">
        <w:rPr>
          <w:rFonts w:ascii="Arial" w:eastAsia="宋体" w:hAnsi="Arial" w:cs="Arial"/>
          <w:color w:val="333333"/>
          <w:kern w:val="0"/>
          <w:szCs w:val="21"/>
        </w:rPr>
        <w:t>图纸、翻译资料、摄影摄像等所订立的合同；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计量检定单位就强制性计量检定所订立的合同；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四</w:t>
      </w:r>
      <w:r w:rsidRPr="00D37015">
        <w:rPr>
          <w:rFonts w:ascii="Arial" w:eastAsia="宋体" w:hAnsi="Arial" w:cs="Arial"/>
          <w:color w:val="333333"/>
          <w:kern w:val="0"/>
          <w:szCs w:val="21"/>
        </w:rPr>
        <w:t>)</w:t>
      </w:r>
      <w:r w:rsidRPr="00D37015">
        <w:rPr>
          <w:rFonts w:ascii="Arial" w:eastAsia="宋体" w:hAnsi="Arial" w:cs="Arial"/>
          <w:color w:val="333333"/>
          <w:kern w:val="0"/>
          <w:szCs w:val="21"/>
        </w:rPr>
        <w:t>理化测试分析单位就仪器设备的购售、租赁及用户服务所订立的合同。</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第六章</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技术培训合同和技术中介合同</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第四十三条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技术培训合同是当事人一方委托另一方对指定的专业技术人员进行特定项目的技术指导和业务训练所订立的合同。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技术培训合同是技术服务合同中的一种，在认定登记时应按技术培训合同单独予以登记。</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t>第四十四条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技术培训合同的认定条件是：</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以传授特定技术项目的专业技术知识为合同的主要标的；</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培训对象为委托方指定的与特定技术项目有关的专业技术人员；</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技术指导和专业训练的内容不涉及有关知识产权权利的转移。</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第四十五条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技术开发、技术转让等合同中涉及技术培训内容的，应按技术开发合同或技术转让合同认定，不应就其技术培训内容单独认定登记。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第四十六条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下列培训教育活动，不属于技术培训合同：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当事人就其员工业务素质、文化学习和职业技能等进行的培训活动；</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为销售技术产品而就有关该产品性能、功能及使用、操作进行的培训活动。</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第四十七条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技术中介合同是当事人一方</w:t>
      </w:r>
      <w:r w:rsidRPr="00D37015">
        <w:rPr>
          <w:rFonts w:ascii="Arial" w:eastAsia="宋体" w:hAnsi="Arial" w:cs="Arial"/>
          <w:color w:val="333333"/>
          <w:kern w:val="0"/>
          <w:szCs w:val="21"/>
        </w:rPr>
        <w:t>(</w:t>
      </w:r>
      <w:r w:rsidRPr="00D37015">
        <w:rPr>
          <w:rFonts w:ascii="Arial" w:eastAsia="宋体" w:hAnsi="Arial" w:cs="Arial"/>
          <w:color w:val="333333"/>
          <w:kern w:val="0"/>
          <w:szCs w:val="21"/>
        </w:rPr>
        <w:t>中介方</w:t>
      </w:r>
      <w:r w:rsidRPr="00D37015">
        <w:rPr>
          <w:rFonts w:ascii="Arial" w:eastAsia="宋体" w:hAnsi="Arial" w:cs="Arial"/>
          <w:color w:val="333333"/>
          <w:kern w:val="0"/>
          <w:szCs w:val="21"/>
        </w:rPr>
        <w:t>)</w:t>
      </w:r>
      <w:r w:rsidRPr="00D37015">
        <w:rPr>
          <w:rFonts w:ascii="Arial" w:eastAsia="宋体" w:hAnsi="Arial" w:cs="Arial"/>
          <w:color w:val="333333"/>
          <w:kern w:val="0"/>
          <w:szCs w:val="21"/>
        </w:rPr>
        <w:t>以知识、技术、经验和信息为另一方与第三方订立技术合同、实现技术创新和科技成果产业化进行联系、介绍、组织工业化开发并对履行合同提供专门服务所订立的合同。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技术中介合同是技术服务合同中的一种，在认定登记时应按技术中介合同单独予以登记。</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第四十八条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技术中介合同的认定条件是：</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技术中介的目的是促成委托方与第三方进行技术交易，实现科技成果的转化；</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技术中介的内容应为特定的技术成果或技术项目；</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中介方应符合国家有关技术中介主体的资格要求。</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第四十九条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技术中介合同可以以下列两种形式订立：</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中介方与委托方单独订立的有关技术中介业务的合同；</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在委托方与第三方订立的技术合同中载明中介方权利与义务的有关中介条款。</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第五十条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根据当事人申请，技术中介合同可以与其涉及的技术合同一起认定登记，也可以单独认定登记。</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第七章</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核定技术性收入</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第五十一条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技术合同登记机构应当对申请认定登记合同的交易总额和技术交易额进行审查，核定技术性收入。</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申请认定登记的合同，应当载明合同交易总额、技术交易额。申请认定登记时不能确定合同交易总额、技术交易额的，或者在履行合同中金额发生变化的，当事人应当在办理减免</w:t>
      </w:r>
      <w:r w:rsidRPr="00D37015">
        <w:rPr>
          <w:rFonts w:ascii="Arial" w:eastAsia="宋体" w:hAnsi="Arial" w:cs="Arial"/>
          <w:color w:val="333333"/>
          <w:kern w:val="0"/>
          <w:szCs w:val="21"/>
        </w:rPr>
        <w:lastRenderedPageBreak/>
        <w:t>税或提取奖酬</w:t>
      </w:r>
      <w:proofErr w:type="gramStart"/>
      <w:r w:rsidRPr="00D37015">
        <w:rPr>
          <w:rFonts w:ascii="Arial" w:eastAsia="宋体" w:hAnsi="Arial" w:cs="Arial"/>
          <w:color w:val="333333"/>
          <w:kern w:val="0"/>
          <w:szCs w:val="21"/>
        </w:rPr>
        <w:t>金手续</w:t>
      </w:r>
      <w:proofErr w:type="gramEnd"/>
      <w:r w:rsidRPr="00D37015">
        <w:rPr>
          <w:rFonts w:ascii="Arial" w:eastAsia="宋体" w:hAnsi="Arial" w:cs="Arial"/>
          <w:color w:val="333333"/>
          <w:kern w:val="0"/>
          <w:szCs w:val="21"/>
        </w:rPr>
        <w:t>前予以补正。不予补正并违反国家有关法律法规的，应承担相应的法律责任。</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第五十二条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本规则第五十一条用语的含义是：</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proofErr w:type="gramStart"/>
      <w:r w:rsidRPr="00D37015">
        <w:rPr>
          <w:rFonts w:ascii="Arial" w:eastAsia="宋体" w:hAnsi="Arial" w:cs="Arial"/>
          <w:color w:val="333333"/>
          <w:kern w:val="0"/>
          <w:szCs w:val="21"/>
        </w:rPr>
        <w:t>一</w:t>
      </w:r>
      <w:proofErr w:type="gramEnd"/>
      <w:r w:rsidRPr="00D37015">
        <w:rPr>
          <w:rFonts w:ascii="Arial" w:eastAsia="宋体" w:hAnsi="Arial" w:cs="Arial"/>
          <w:color w:val="333333"/>
          <w:kern w:val="0"/>
          <w:szCs w:val="21"/>
        </w:rPr>
        <w:t>)</w:t>
      </w:r>
      <w:r w:rsidRPr="00D37015">
        <w:rPr>
          <w:rFonts w:ascii="Arial" w:eastAsia="宋体" w:hAnsi="Arial" w:cs="Arial"/>
          <w:color w:val="333333"/>
          <w:kern w:val="0"/>
          <w:szCs w:val="21"/>
        </w:rPr>
        <w:t>合同交易总额是指技术合同成交项目的总金额；</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二</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技术交易额是指从合同交易总额中扣除购置设备、仪器、零部件、原材料等非技术性费用后的剩余金额。但合理数量标的物的直接成本不计入非技术性费用；</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w:t>
      </w:r>
      <w:r w:rsidRPr="00D37015">
        <w:rPr>
          <w:rFonts w:ascii="Arial" w:eastAsia="宋体" w:hAnsi="Arial" w:cs="Arial"/>
          <w:color w:val="333333"/>
          <w:kern w:val="0"/>
          <w:szCs w:val="21"/>
        </w:rPr>
        <w:t>三</w:t>
      </w:r>
      <w:r w:rsidRPr="00D37015">
        <w:rPr>
          <w:rFonts w:ascii="Arial" w:eastAsia="宋体" w:hAnsi="Arial" w:cs="Arial"/>
          <w:color w:val="333333"/>
          <w:kern w:val="0"/>
          <w:szCs w:val="21"/>
        </w:rPr>
        <w:t>)</w:t>
      </w:r>
      <w:r w:rsidRPr="00D37015">
        <w:rPr>
          <w:rFonts w:ascii="Arial" w:eastAsia="宋体" w:hAnsi="Arial" w:cs="Arial"/>
          <w:color w:val="333333"/>
          <w:kern w:val="0"/>
          <w:szCs w:val="21"/>
        </w:rPr>
        <w:t>技术性收入是指履行合同后所获得的价款、使用费、报酬的金额。</w:t>
      </w: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第五十三条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企业、事业单位和其他组织按照国家有关政策减免税、提取奖酬金和其他技术劳务费用，应当以技术合同登记机构核定的技术交易额或技术性收入为基数计算。</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br/>
      </w:r>
      <w:r w:rsidRPr="00D37015">
        <w:rPr>
          <w:rFonts w:ascii="Arial" w:eastAsia="宋体" w:hAnsi="Arial" w:cs="Arial"/>
          <w:color w:val="333333"/>
          <w:kern w:val="0"/>
          <w:szCs w:val="21"/>
        </w:rPr>
        <w:t xml:space="preserve">　　第八章</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附则</w:t>
      </w:r>
    </w:p>
    <w:p w:rsidR="00D37015" w:rsidRPr="00D37015" w:rsidRDefault="00D37015" w:rsidP="00D37015">
      <w:pPr>
        <w:widowControl/>
        <w:shd w:val="clear" w:color="auto" w:fill="FFFFFF"/>
        <w:spacing w:line="360" w:lineRule="atLeast"/>
        <w:ind w:firstLine="480"/>
        <w:jc w:val="left"/>
        <w:rPr>
          <w:rFonts w:ascii="Arial" w:eastAsia="宋体" w:hAnsi="Arial" w:cs="Arial"/>
          <w:color w:val="333333"/>
          <w:kern w:val="0"/>
          <w:szCs w:val="21"/>
        </w:rPr>
      </w:pPr>
      <w:r w:rsidRPr="00D37015">
        <w:rPr>
          <w:rFonts w:ascii="Arial" w:eastAsia="宋体" w:hAnsi="Arial" w:cs="Arial"/>
          <w:color w:val="333333"/>
          <w:kern w:val="0"/>
          <w:szCs w:val="21"/>
        </w:rPr>
        <w:t>第五十四条</w:t>
      </w:r>
      <w:r w:rsidRPr="00D37015">
        <w:rPr>
          <w:rFonts w:ascii="Arial" w:eastAsia="宋体" w:hAnsi="Arial" w:cs="Arial"/>
          <w:color w:val="333333"/>
          <w:kern w:val="0"/>
          <w:szCs w:val="21"/>
        </w:rPr>
        <w:t xml:space="preserve"> </w:t>
      </w:r>
      <w:r w:rsidRPr="00D37015">
        <w:rPr>
          <w:rFonts w:ascii="Arial" w:eastAsia="宋体" w:hAnsi="Arial" w:cs="Arial"/>
          <w:color w:val="333333"/>
          <w:kern w:val="0"/>
          <w:szCs w:val="21"/>
        </w:rPr>
        <w:t>本规则自</w:t>
      </w:r>
      <w:r w:rsidRPr="00D37015">
        <w:rPr>
          <w:rFonts w:ascii="Arial" w:eastAsia="宋体" w:hAnsi="Arial" w:cs="Arial"/>
          <w:color w:val="333333"/>
          <w:kern w:val="0"/>
          <w:szCs w:val="21"/>
        </w:rPr>
        <w:t>2001</w:t>
      </w:r>
      <w:r w:rsidRPr="00D37015">
        <w:rPr>
          <w:rFonts w:ascii="Arial" w:eastAsia="宋体" w:hAnsi="Arial" w:cs="Arial"/>
          <w:color w:val="333333"/>
          <w:kern w:val="0"/>
          <w:szCs w:val="21"/>
        </w:rPr>
        <w:t>年</w:t>
      </w:r>
      <w:r w:rsidRPr="00D37015">
        <w:rPr>
          <w:rFonts w:ascii="Arial" w:eastAsia="宋体" w:hAnsi="Arial" w:cs="Arial"/>
          <w:color w:val="333333"/>
          <w:kern w:val="0"/>
          <w:szCs w:val="21"/>
        </w:rPr>
        <w:t>7</w:t>
      </w:r>
      <w:r w:rsidRPr="00D37015">
        <w:rPr>
          <w:rFonts w:ascii="Arial" w:eastAsia="宋体" w:hAnsi="Arial" w:cs="Arial"/>
          <w:color w:val="333333"/>
          <w:kern w:val="0"/>
          <w:szCs w:val="21"/>
        </w:rPr>
        <w:t>月</w:t>
      </w:r>
      <w:r w:rsidRPr="00D37015">
        <w:rPr>
          <w:rFonts w:ascii="Arial" w:eastAsia="宋体" w:hAnsi="Arial" w:cs="Arial"/>
          <w:color w:val="333333"/>
          <w:kern w:val="0"/>
          <w:szCs w:val="21"/>
        </w:rPr>
        <w:t>18</w:t>
      </w:r>
      <w:r w:rsidRPr="00D37015">
        <w:rPr>
          <w:rFonts w:ascii="Arial" w:eastAsia="宋体" w:hAnsi="Arial" w:cs="Arial"/>
          <w:color w:val="333333"/>
          <w:kern w:val="0"/>
          <w:szCs w:val="21"/>
        </w:rPr>
        <w:t>日起施行。</w:t>
      </w:r>
      <w:r w:rsidRPr="00D37015">
        <w:rPr>
          <w:rFonts w:ascii="Arial" w:eastAsia="宋体" w:hAnsi="Arial" w:cs="Arial"/>
          <w:color w:val="333333"/>
          <w:kern w:val="0"/>
          <w:szCs w:val="21"/>
        </w:rPr>
        <w:t>1990</w:t>
      </w:r>
      <w:r w:rsidRPr="00D37015">
        <w:rPr>
          <w:rFonts w:ascii="Arial" w:eastAsia="宋体" w:hAnsi="Arial" w:cs="Arial"/>
          <w:color w:val="333333"/>
          <w:kern w:val="0"/>
          <w:szCs w:val="21"/>
        </w:rPr>
        <w:t>年</w:t>
      </w:r>
      <w:r w:rsidRPr="00D37015">
        <w:rPr>
          <w:rFonts w:ascii="Arial" w:eastAsia="宋体" w:hAnsi="Arial" w:cs="Arial"/>
          <w:color w:val="333333"/>
          <w:kern w:val="0"/>
          <w:szCs w:val="21"/>
        </w:rPr>
        <w:t>7</w:t>
      </w:r>
      <w:r w:rsidRPr="00D37015">
        <w:rPr>
          <w:rFonts w:ascii="Arial" w:eastAsia="宋体" w:hAnsi="Arial" w:cs="Arial"/>
          <w:color w:val="333333"/>
          <w:kern w:val="0"/>
          <w:szCs w:val="21"/>
        </w:rPr>
        <w:t>月</w:t>
      </w:r>
      <w:r w:rsidRPr="00D37015">
        <w:rPr>
          <w:rFonts w:ascii="Arial" w:eastAsia="宋体" w:hAnsi="Arial" w:cs="Arial"/>
          <w:color w:val="333333"/>
          <w:kern w:val="0"/>
          <w:szCs w:val="21"/>
        </w:rPr>
        <w:t>27</w:t>
      </w:r>
      <w:r w:rsidRPr="00D37015">
        <w:rPr>
          <w:rFonts w:ascii="Arial" w:eastAsia="宋体" w:hAnsi="Arial" w:cs="Arial"/>
          <w:color w:val="333333"/>
          <w:kern w:val="0"/>
          <w:szCs w:val="21"/>
        </w:rPr>
        <w:t>日原国家科委发布的《技术合同认定规则</w:t>
      </w:r>
      <w:r w:rsidRPr="00D37015">
        <w:rPr>
          <w:rFonts w:ascii="Arial" w:eastAsia="宋体" w:hAnsi="Arial" w:cs="Arial"/>
          <w:color w:val="333333"/>
          <w:kern w:val="0"/>
          <w:szCs w:val="21"/>
        </w:rPr>
        <w:t>(</w:t>
      </w:r>
      <w:r w:rsidRPr="00D37015">
        <w:rPr>
          <w:rFonts w:ascii="Arial" w:eastAsia="宋体" w:hAnsi="Arial" w:cs="Arial"/>
          <w:color w:val="333333"/>
          <w:kern w:val="0"/>
          <w:szCs w:val="21"/>
        </w:rPr>
        <w:t>试行</w:t>
      </w:r>
      <w:r w:rsidRPr="00D37015">
        <w:rPr>
          <w:rFonts w:ascii="Arial" w:eastAsia="宋体" w:hAnsi="Arial" w:cs="Arial"/>
          <w:color w:val="333333"/>
          <w:kern w:val="0"/>
          <w:szCs w:val="21"/>
        </w:rPr>
        <w:t>)</w:t>
      </w:r>
      <w:r w:rsidRPr="00D37015">
        <w:rPr>
          <w:rFonts w:ascii="Arial" w:eastAsia="宋体" w:hAnsi="Arial" w:cs="Arial"/>
          <w:color w:val="333333"/>
          <w:kern w:val="0"/>
          <w:szCs w:val="21"/>
        </w:rPr>
        <w:t>》同时废止</w:t>
      </w:r>
    </w:p>
    <w:p w:rsidR="00B642A5" w:rsidRPr="00D37015" w:rsidRDefault="00B642A5"/>
    <w:sectPr w:rsidR="00B642A5" w:rsidRPr="00D3701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49" w:rsidRDefault="002A4749" w:rsidP="00D37015">
      <w:r>
        <w:separator/>
      </w:r>
    </w:p>
  </w:endnote>
  <w:endnote w:type="continuationSeparator" w:id="0">
    <w:p w:rsidR="002A4749" w:rsidRDefault="002A4749" w:rsidP="00D3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15" w:rsidRDefault="00D370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15" w:rsidRDefault="00D3701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15" w:rsidRDefault="00D370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49" w:rsidRDefault="002A4749" w:rsidP="00D37015">
      <w:r>
        <w:separator/>
      </w:r>
    </w:p>
  </w:footnote>
  <w:footnote w:type="continuationSeparator" w:id="0">
    <w:p w:rsidR="002A4749" w:rsidRDefault="002A4749" w:rsidP="00D3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15" w:rsidRDefault="00D3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15" w:rsidRDefault="00D37015" w:rsidP="00D3701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15" w:rsidRDefault="00D370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AF"/>
    <w:rsid w:val="00005C22"/>
    <w:rsid w:val="00021C7E"/>
    <w:rsid w:val="000312D3"/>
    <w:rsid w:val="000349A0"/>
    <w:rsid w:val="00053C81"/>
    <w:rsid w:val="00057BF7"/>
    <w:rsid w:val="00062658"/>
    <w:rsid w:val="00070808"/>
    <w:rsid w:val="0007289E"/>
    <w:rsid w:val="000750FE"/>
    <w:rsid w:val="00076CBC"/>
    <w:rsid w:val="000817DF"/>
    <w:rsid w:val="00084990"/>
    <w:rsid w:val="00093F23"/>
    <w:rsid w:val="000B43DC"/>
    <w:rsid w:val="000B4892"/>
    <w:rsid w:val="000B563E"/>
    <w:rsid w:val="000B7C9E"/>
    <w:rsid w:val="000D473C"/>
    <w:rsid w:val="000E0A4E"/>
    <w:rsid w:val="000F51C9"/>
    <w:rsid w:val="001062DD"/>
    <w:rsid w:val="0011068C"/>
    <w:rsid w:val="0011494B"/>
    <w:rsid w:val="00125978"/>
    <w:rsid w:val="001500E3"/>
    <w:rsid w:val="00152015"/>
    <w:rsid w:val="001762A0"/>
    <w:rsid w:val="00183F4E"/>
    <w:rsid w:val="00193A0B"/>
    <w:rsid w:val="001A1B81"/>
    <w:rsid w:val="001A3807"/>
    <w:rsid w:val="001C57B1"/>
    <w:rsid w:val="001C77E9"/>
    <w:rsid w:val="001E4DE9"/>
    <w:rsid w:val="001F78D7"/>
    <w:rsid w:val="00204872"/>
    <w:rsid w:val="00224568"/>
    <w:rsid w:val="00225E4A"/>
    <w:rsid w:val="002278A8"/>
    <w:rsid w:val="00235BA0"/>
    <w:rsid w:val="002514C2"/>
    <w:rsid w:val="00254BB5"/>
    <w:rsid w:val="00256C60"/>
    <w:rsid w:val="00262639"/>
    <w:rsid w:val="0026549A"/>
    <w:rsid w:val="00274ADC"/>
    <w:rsid w:val="00274B42"/>
    <w:rsid w:val="00293383"/>
    <w:rsid w:val="002A3949"/>
    <w:rsid w:val="002A4749"/>
    <w:rsid w:val="002A4B48"/>
    <w:rsid w:val="002A4F5B"/>
    <w:rsid w:val="002A6109"/>
    <w:rsid w:val="002A734F"/>
    <w:rsid w:val="002C4251"/>
    <w:rsid w:val="002D40E9"/>
    <w:rsid w:val="002D5050"/>
    <w:rsid w:val="002D5590"/>
    <w:rsid w:val="002F17E4"/>
    <w:rsid w:val="002F41D7"/>
    <w:rsid w:val="00301C6E"/>
    <w:rsid w:val="003078E7"/>
    <w:rsid w:val="0031052C"/>
    <w:rsid w:val="00314D91"/>
    <w:rsid w:val="00316613"/>
    <w:rsid w:val="00330AB7"/>
    <w:rsid w:val="0034782C"/>
    <w:rsid w:val="00355EE8"/>
    <w:rsid w:val="00357EE7"/>
    <w:rsid w:val="0036078E"/>
    <w:rsid w:val="00362081"/>
    <w:rsid w:val="00366E03"/>
    <w:rsid w:val="003678AF"/>
    <w:rsid w:val="00372837"/>
    <w:rsid w:val="00375228"/>
    <w:rsid w:val="0038731A"/>
    <w:rsid w:val="003A0BC3"/>
    <w:rsid w:val="003A1C08"/>
    <w:rsid w:val="003B40FE"/>
    <w:rsid w:val="003B44FA"/>
    <w:rsid w:val="003D7A10"/>
    <w:rsid w:val="003E0434"/>
    <w:rsid w:val="003F016F"/>
    <w:rsid w:val="003F5762"/>
    <w:rsid w:val="003F6027"/>
    <w:rsid w:val="003F765F"/>
    <w:rsid w:val="004016CC"/>
    <w:rsid w:val="00410CEE"/>
    <w:rsid w:val="00443CD2"/>
    <w:rsid w:val="0045069E"/>
    <w:rsid w:val="0045657F"/>
    <w:rsid w:val="00461151"/>
    <w:rsid w:val="00463891"/>
    <w:rsid w:val="00464927"/>
    <w:rsid w:val="00465519"/>
    <w:rsid w:val="004679A2"/>
    <w:rsid w:val="004733E3"/>
    <w:rsid w:val="00476CED"/>
    <w:rsid w:val="00490204"/>
    <w:rsid w:val="00490516"/>
    <w:rsid w:val="0049534F"/>
    <w:rsid w:val="004972DD"/>
    <w:rsid w:val="004A1CE3"/>
    <w:rsid w:val="004A6413"/>
    <w:rsid w:val="004A7B0C"/>
    <w:rsid w:val="004B6A4A"/>
    <w:rsid w:val="0051359B"/>
    <w:rsid w:val="005160AD"/>
    <w:rsid w:val="00543B99"/>
    <w:rsid w:val="00546D8D"/>
    <w:rsid w:val="00564D91"/>
    <w:rsid w:val="00572436"/>
    <w:rsid w:val="0058552E"/>
    <w:rsid w:val="005918A0"/>
    <w:rsid w:val="00596010"/>
    <w:rsid w:val="005A365B"/>
    <w:rsid w:val="005D7A6F"/>
    <w:rsid w:val="005E490D"/>
    <w:rsid w:val="005F1777"/>
    <w:rsid w:val="005F33E7"/>
    <w:rsid w:val="006112DF"/>
    <w:rsid w:val="00615102"/>
    <w:rsid w:val="00624A11"/>
    <w:rsid w:val="006349EB"/>
    <w:rsid w:val="006372AF"/>
    <w:rsid w:val="006505B5"/>
    <w:rsid w:val="00651B57"/>
    <w:rsid w:val="00652388"/>
    <w:rsid w:val="006538CF"/>
    <w:rsid w:val="006565C3"/>
    <w:rsid w:val="00674E53"/>
    <w:rsid w:val="00675766"/>
    <w:rsid w:val="006A72EE"/>
    <w:rsid w:val="006A77A1"/>
    <w:rsid w:val="006B09D9"/>
    <w:rsid w:val="006C12DB"/>
    <w:rsid w:val="006D09F3"/>
    <w:rsid w:val="006E4B34"/>
    <w:rsid w:val="006E6F9F"/>
    <w:rsid w:val="006F1C40"/>
    <w:rsid w:val="00706AD8"/>
    <w:rsid w:val="0071647E"/>
    <w:rsid w:val="00764818"/>
    <w:rsid w:val="00774C45"/>
    <w:rsid w:val="0077606A"/>
    <w:rsid w:val="00776759"/>
    <w:rsid w:val="00781AA5"/>
    <w:rsid w:val="0079680D"/>
    <w:rsid w:val="007A3FB3"/>
    <w:rsid w:val="007A42FA"/>
    <w:rsid w:val="007A593B"/>
    <w:rsid w:val="007B1902"/>
    <w:rsid w:val="007B500D"/>
    <w:rsid w:val="007B6BEA"/>
    <w:rsid w:val="007B7520"/>
    <w:rsid w:val="007C0955"/>
    <w:rsid w:val="007D4961"/>
    <w:rsid w:val="007E3AE4"/>
    <w:rsid w:val="007F0037"/>
    <w:rsid w:val="007F20F0"/>
    <w:rsid w:val="00803BEF"/>
    <w:rsid w:val="00804BBF"/>
    <w:rsid w:val="008209CA"/>
    <w:rsid w:val="0085457C"/>
    <w:rsid w:val="00870B78"/>
    <w:rsid w:val="00876C89"/>
    <w:rsid w:val="008A44CB"/>
    <w:rsid w:val="008B4E5C"/>
    <w:rsid w:val="008C03B6"/>
    <w:rsid w:val="008E0AEF"/>
    <w:rsid w:val="008E238E"/>
    <w:rsid w:val="00903684"/>
    <w:rsid w:val="00906D6C"/>
    <w:rsid w:val="00910F20"/>
    <w:rsid w:val="009372ED"/>
    <w:rsid w:val="00940768"/>
    <w:rsid w:val="00941709"/>
    <w:rsid w:val="0095221E"/>
    <w:rsid w:val="0095605D"/>
    <w:rsid w:val="009564D7"/>
    <w:rsid w:val="0097136C"/>
    <w:rsid w:val="00977B5F"/>
    <w:rsid w:val="00996573"/>
    <w:rsid w:val="009B0253"/>
    <w:rsid w:val="009B15C3"/>
    <w:rsid w:val="009B72B5"/>
    <w:rsid w:val="009E1A8C"/>
    <w:rsid w:val="009E7EC7"/>
    <w:rsid w:val="009F28A2"/>
    <w:rsid w:val="009F2A04"/>
    <w:rsid w:val="00A03EA6"/>
    <w:rsid w:val="00A10CF2"/>
    <w:rsid w:val="00A11258"/>
    <w:rsid w:val="00A234F7"/>
    <w:rsid w:val="00A23CB9"/>
    <w:rsid w:val="00A24757"/>
    <w:rsid w:val="00A26AEE"/>
    <w:rsid w:val="00A35237"/>
    <w:rsid w:val="00A35D01"/>
    <w:rsid w:val="00A40D34"/>
    <w:rsid w:val="00A42E84"/>
    <w:rsid w:val="00A4580B"/>
    <w:rsid w:val="00A47DD5"/>
    <w:rsid w:val="00A54B34"/>
    <w:rsid w:val="00A54B4E"/>
    <w:rsid w:val="00A60CA3"/>
    <w:rsid w:val="00A70A26"/>
    <w:rsid w:val="00A70D0A"/>
    <w:rsid w:val="00A71796"/>
    <w:rsid w:val="00A81A2F"/>
    <w:rsid w:val="00A84697"/>
    <w:rsid w:val="00A86063"/>
    <w:rsid w:val="00A94788"/>
    <w:rsid w:val="00A955BC"/>
    <w:rsid w:val="00AB13AF"/>
    <w:rsid w:val="00AB2369"/>
    <w:rsid w:val="00AD02C4"/>
    <w:rsid w:val="00AD0348"/>
    <w:rsid w:val="00AD22A9"/>
    <w:rsid w:val="00AD48B2"/>
    <w:rsid w:val="00AD714A"/>
    <w:rsid w:val="00AE28E7"/>
    <w:rsid w:val="00AE78ED"/>
    <w:rsid w:val="00B05FE3"/>
    <w:rsid w:val="00B2321E"/>
    <w:rsid w:val="00B270A2"/>
    <w:rsid w:val="00B3190E"/>
    <w:rsid w:val="00B36C07"/>
    <w:rsid w:val="00B42B47"/>
    <w:rsid w:val="00B4425E"/>
    <w:rsid w:val="00B44329"/>
    <w:rsid w:val="00B642A5"/>
    <w:rsid w:val="00B67534"/>
    <w:rsid w:val="00B72816"/>
    <w:rsid w:val="00B749AE"/>
    <w:rsid w:val="00BA1E1E"/>
    <w:rsid w:val="00BA7405"/>
    <w:rsid w:val="00BB0C18"/>
    <w:rsid w:val="00BB0DA4"/>
    <w:rsid w:val="00BB1BDB"/>
    <w:rsid w:val="00BB544E"/>
    <w:rsid w:val="00BC19A4"/>
    <w:rsid w:val="00BC511C"/>
    <w:rsid w:val="00BC6941"/>
    <w:rsid w:val="00BD2A50"/>
    <w:rsid w:val="00BE4F53"/>
    <w:rsid w:val="00BF74FE"/>
    <w:rsid w:val="00C0080E"/>
    <w:rsid w:val="00C01A0E"/>
    <w:rsid w:val="00C02650"/>
    <w:rsid w:val="00C04F2A"/>
    <w:rsid w:val="00C065D2"/>
    <w:rsid w:val="00C141F6"/>
    <w:rsid w:val="00C54321"/>
    <w:rsid w:val="00C55634"/>
    <w:rsid w:val="00C558C2"/>
    <w:rsid w:val="00C6628B"/>
    <w:rsid w:val="00C74E33"/>
    <w:rsid w:val="00C87B3C"/>
    <w:rsid w:val="00C90EA3"/>
    <w:rsid w:val="00CC0888"/>
    <w:rsid w:val="00CC5DAE"/>
    <w:rsid w:val="00CE2890"/>
    <w:rsid w:val="00CE42D8"/>
    <w:rsid w:val="00D065D2"/>
    <w:rsid w:val="00D22674"/>
    <w:rsid w:val="00D30DCD"/>
    <w:rsid w:val="00D37015"/>
    <w:rsid w:val="00D42C17"/>
    <w:rsid w:val="00D43A14"/>
    <w:rsid w:val="00D448CF"/>
    <w:rsid w:val="00D46608"/>
    <w:rsid w:val="00D51683"/>
    <w:rsid w:val="00D67BC7"/>
    <w:rsid w:val="00D83BBF"/>
    <w:rsid w:val="00DA5016"/>
    <w:rsid w:val="00DB0BFC"/>
    <w:rsid w:val="00DB2A42"/>
    <w:rsid w:val="00DC6A48"/>
    <w:rsid w:val="00DD3996"/>
    <w:rsid w:val="00DD75BD"/>
    <w:rsid w:val="00DE7437"/>
    <w:rsid w:val="00DF5DE4"/>
    <w:rsid w:val="00DF7E82"/>
    <w:rsid w:val="00E10731"/>
    <w:rsid w:val="00E12C80"/>
    <w:rsid w:val="00E1796A"/>
    <w:rsid w:val="00E20F9D"/>
    <w:rsid w:val="00E40B7A"/>
    <w:rsid w:val="00E42AA6"/>
    <w:rsid w:val="00E7170C"/>
    <w:rsid w:val="00E748DB"/>
    <w:rsid w:val="00E75948"/>
    <w:rsid w:val="00E90F03"/>
    <w:rsid w:val="00EC73AA"/>
    <w:rsid w:val="00ED2346"/>
    <w:rsid w:val="00ED23E2"/>
    <w:rsid w:val="00ED3213"/>
    <w:rsid w:val="00EE07DB"/>
    <w:rsid w:val="00EE1399"/>
    <w:rsid w:val="00F0168E"/>
    <w:rsid w:val="00F14757"/>
    <w:rsid w:val="00F64931"/>
    <w:rsid w:val="00F64E6D"/>
    <w:rsid w:val="00F65780"/>
    <w:rsid w:val="00FA1AED"/>
    <w:rsid w:val="00FB14F1"/>
    <w:rsid w:val="00FC1731"/>
    <w:rsid w:val="00FC59A2"/>
    <w:rsid w:val="00FD7056"/>
    <w:rsid w:val="00FE453D"/>
    <w:rsid w:val="00FE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7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015"/>
    <w:rPr>
      <w:sz w:val="18"/>
      <w:szCs w:val="18"/>
    </w:rPr>
  </w:style>
  <w:style w:type="paragraph" w:styleId="a4">
    <w:name w:val="footer"/>
    <w:basedOn w:val="a"/>
    <w:link w:val="Char0"/>
    <w:uiPriority w:val="99"/>
    <w:unhideWhenUsed/>
    <w:rsid w:val="00D37015"/>
    <w:pPr>
      <w:tabs>
        <w:tab w:val="center" w:pos="4153"/>
        <w:tab w:val="right" w:pos="8306"/>
      </w:tabs>
      <w:snapToGrid w:val="0"/>
      <w:jc w:val="left"/>
    </w:pPr>
    <w:rPr>
      <w:sz w:val="18"/>
      <w:szCs w:val="18"/>
    </w:rPr>
  </w:style>
  <w:style w:type="character" w:customStyle="1" w:styleId="Char0">
    <w:name w:val="页脚 Char"/>
    <w:basedOn w:val="a0"/>
    <w:link w:val="a4"/>
    <w:uiPriority w:val="99"/>
    <w:rsid w:val="00D370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7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015"/>
    <w:rPr>
      <w:sz w:val="18"/>
      <w:szCs w:val="18"/>
    </w:rPr>
  </w:style>
  <w:style w:type="paragraph" w:styleId="a4">
    <w:name w:val="footer"/>
    <w:basedOn w:val="a"/>
    <w:link w:val="Char0"/>
    <w:uiPriority w:val="99"/>
    <w:unhideWhenUsed/>
    <w:rsid w:val="00D37015"/>
    <w:pPr>
      <w:tabs>
        <w:tab w:val="center" w:pos="4153"/>
        <w:tab w:val="right" w:pos="8306"/>
      </w:tabs>
      <w:snapToGrid w:val="0"/>
      <w:jc w:val="left"/>
    </w:pPr>
    <w:rPr>
      <w:sz w:val="18"/>
      <w:szCs w:val="18"/>
    </w:rPr>
  </w:style>
  <w:style w:type="character" w:customStyle="1" w:styleId="Char0">
    <w:name w:val="页脚 Char"/>
    <w:basedOn w:val="a0"/>
    <w:link w:val="a4"/>
    <w:uiPriority w:val="99"/>
    <w:rsid w:val="00D370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58276">
      <w:bodyDiv w:val="1"/>
      <w:marLeft w:val="0"/>
      <w:marRight w:val="0"/>
      <w:marTop w:val="0"/>
      <w:marBottom w:val="0"/>
      <w:divBdr>
        <w:top w:val="none" w:sz="0" w:space="0" w:color="auto"/>
        <w:left w:val="none" w:sz="0" w:space="0" w:color="auto"/>
        <w:bottom w:val="none" w:sz="0" w:space="0" w:color="auto"/>
        <w:right w:val="none" w:sz="0" w:space="0" w:color="auto"/>
      </w:divBdr>
      <w:divsChild>
        <w:div w:id="763571035">
          <w:marLeft w:val="0"/>
          <w:marRight w:val="0"/>
          <w:marTop w:val="0"/>
          <w:marBottom w:val="0"/>
          <w:divBdr>
            <w:top w:val="none" w:sz="0" w:space="0" w:color="auto"/>
            <w:left w:val="none" w:sz="0" w:space="0" w:color="auto"/>
            <w:bottom w:val="none" w:sz="0" w:space="0" w:color="auto"/>
            <w:right w:val="none" w:sz="0" w:space="0" w:color="auto"/>
          </w:divBdr>
          <w:divsChild>
            <w:div w:id="618609639">
              <w:marLeft w:val="0"/>
              <w:marRight w:val="0"/>
              <w:marTop w:val="300"/>
              <w:marBottom w:val="0"/>
              <w:divBdr>
                <w:top w:val="none" w:sz="0" w:space="0" w:color="auto"/>
                <w:left w:val="none" w:sz="0" w:space="0" w:color="auto"/>
                <w:bottom w:val="none" w:sz="0" w:space="0" w:color="auto"/>
                <w:right w:val="none" w:sz="0" w:space="0" w:color="auto"/>
              </w:divBdr>
              <w:divsChild>
                <w:div w:id="588320296">
                  <w:marLeft w:val="0"/>
                  <w:marRight w:val="0"/>
                  <w:marTop w:val="0"/>
                  <w:marBottom w:val="0"/>
                  <w:divBdr>
                    <w:top w:val="single" w:sz="6" w:space="0" w:color="E5E5E5"/>
                    <w:left w:val="single" w:sz="6" w:space="0" w:color="E5E5E5"/>
                    <w:bottom w:val="single" w:sz="6" w:space="0" w:color="E5E5E5"/>
                    <w:right w:val="single" w:sz="6" w:space="0" w:color="E5E5E5"/>
                  </w:divBdr>
                  <w:divsChild>
                    <w:div w:id="202522376">
                      <w:marLeft w:val="0"/>
                      <w:marRight w:val="0"/>
                      <w:marTop w:val="0"/>
                      <w:marBottom w:val="0"/>
                      <w:divBdr>
                        <w:top w:val="none" w:sz="0" w:space="0" w:color="auto"/>
                        <w:left w:val="none" w:sz="0" w:space="0" w:color="auto"/>
                        <w:bottom w:val="none" w:sz="0" w:space="0" w:color="auto"/>
                        <w:right w:val="none" w:sz="0" w:space="0" w:color="auto"/>
                      </w:divBdr>
                      <w:divsChild>
                        <w:div w:id="1569268043">
                          <w:marLeft w:val="0"/>
                          <w:marRight w:val="0"/>
                          <w:marTop w:val="0"/>
                          <w:marBottom w:val="225"/>
                          <w:divBdr>
                            <w:top w:val="none" w:sz="0" w:space="0" w:color="auto"/>
                            <w:left w:val="none" w:sz="0" w:space="0" w:color="auto"/>
                            <w:bottom w:val="none" w:sz="0" w:space="0" w:color="auto"/>
                            <w:right w:val="none" w:sz="0" w:space="0" w:color="auto"/>
                          </w:divBdr>
                        </w:div>
                        <w:div w:id="1263801224">
                          <w:marLeft w:val="0"/>
                          <w:marRight w:val="0"/>
                          <w:marTop w:val="0"/>
                          <w:marBottom w:val="225"/>
                          <w:divBdr>
                            <w:top w:val="none" w:sz="0" w:space="0" w:color="auto"/>
                            <w:left w:val="none" w:sz="0" w:space="0" w:color="auto"/>
                            <w:bottom w:val="none" w:sz="0" w:space="0" w:color="auto"/>
                            <w:right w:val="none" w:sz="0" w:space="0" w:color="auto"/>
                          </w:divBdr>
                        </w:div>
                        <w:div w:id="1285576644">
                          <w:marLeft w:val="0"/>
                          <w:marRight w:val="0"/>
                          <w:marTop w:val="0"/>
                          <w:marBottom w:val="225"/>
                          <w:divBdr>
                            <w:top w:val="none" w:sz="0" w:space="0" w:color="auto"/>
                            <w:left w:val="none" w:sz="0" w:space="0" w:color="auto"/>
                            <w:bottom w:val="none" w:sz="0" w:space="0" w:color="auto"/>
                            <w:right w:val="none" w:sz="0" w:space="0" w:color="auto"/>
                          </w:divBdr>
                        </w:div>
                        <w:div w:id="159854471">
                          <w:marLeft w:val="0"/>
                          <w:marRight w:val="0"/>
                          <w:marTop w:val="0"/>
                          <w:marBottom w:val="225"/>
                          <w:divBdr>
                            <w:top w:val="none" w:sz="0" w:space="0" w:color="auto"/>
                            <w:left w:val="none" w:sz="0" w:space="0" w:color="auto"/>
                            <w:bottom w:val="none" w:sz="0" w:space="0" w:color="auto"/>
                            <w:right w:val="none" w:sz="0" w:space="0" w:color="auto"/>
                          </w:divBdr>
                        </w:div>
                        <w:div w:id="1928154074">
                          <w:marLeft w:val="0"/>
                          <w:marRight w:val="0"/>
                          <w:marTop w:val="0"/>
                          <w:marBottom w:val="225"/>
                          <w:divBdr>
                            <w:top w:val="none" w:sz="0" w:space="0" w:color="auto"/>
                            <w:left w:val="none" w:sz="0" w:space="0" w:color="auto"/>
                            <w:bottom w:val="none" w:sz="0" w:space="0" w:color="auto"/>
                            <w:right w:val="none" w:sz="0" w:space="0" w:color="auto"/>
                          </w:divBdr>
                        </w:div>
                        <w:div w:id="188834082">
                          <w:marLeft w:val="0"/>
                          <w:marRight w:val="0"/>
                          <w:marTop w:val="0"/>
                          <w:marBottom w:val="225"/>
                          <w:divBdr>
                            <w:top w:val="none" w:sz="0" w:space="0" w:color="auto"/>
                            <w:left w:val="none" w:sz="0" w:space="0" w:color="auto"/>
                            <w:bottom w:val="none" w:sz="0" w:space="0" w:color="auto"/>
                            <w:right w:val="none" w:sz="0" w:space="0" w:color="auto"/>
                          </w:divBdr>
                        </w:div>
                        <w:div w:id="1953978142">
                          <w:marLeft w:val="0"/>
                          <w:marRight w:val="0"/>
                          <w:marTop w:val="0"/>
                          <w:marBottom w:val="225"/>
                          <w:divBdr>
                            <w:top w:val="none" w:sz="0" w:space="0" w:color="auto"/>
                            <w:left w:val="none" w:sz="0" w:space="0" w:color="auto"/>
                            <w:bottom w:val="none" w:sz="0" w:space="0" w:color="auto"/>
                            <w:right w:val="none" w:sz="0" w:space="0" w:color="auto"/>
                          </w:divBdr>
                        </w:div>
                        <w:div w:id="772942495">
                          <w:marLeft w:val="0"/>
                          <w:marRight w:val="0"/>
                          <w:marTop w:val="0"/>
                          <w:marBottom w:val="225"/>
                          <w:divBdr>
                            <w:top w:val="none" w:sz="0" w:space="0" w:color="auto"/>
                            <w:left w:val="none" w:sz="0" w:space="0" w:color="auto"/>
                            <w:bottom w:val="none" w:sz="0" w:space="0" w:color="auto"/>
                            <w:right w:val="none" w:sz="0" w:space="0" w:color="auto"/>
                          </w:divBdr>
                        </w:div>
                        <w:div w:id="390731310">
                          <w:marLeft w:val="0"/>
                          <w:marRight w:val="0"/>
                          <w:marTop w:val="0"/>
                          <w:marBottom w:val="225"/>
                          <w:divBdr>
                            <w:top w:val="none" w:sz="0" w:space="0" w:color="auto"/>
                            <w:left w:val="none" w:sz="0" w:space="0" w:color="auto"/>
                            <w:bottom w:val="none" w:sz="0" w:space="0" w:color="auto"/>
                            <w:right w:val="none" w:sz="0" w:space="0" w:color="auto"/>
                          </w:divBdr>
                        </w:div>
                        <w:div w:id="1852642939">
                          <w:marLeft w:val="0"/>
                          <w:marRight w:val="0"/>
                          <w:marTop w:val="0"/>
                          <w:marBottom w:val="225"/>
                          <w:divBdr>
                            <w:top w:val="none" w:sz="0" w:space="0" w:color="auto"/>
                            <w:left w:val="none" w:sz="0" w:space="0" w:color="auto"/>
                            <w:bottom w:val="none" w:sz="0" w:space="0" w:color="auto"/>
                            <w:right w:val="none" w:sz="0" w:space="0" w:color="auto"/>
                          </w:divBdr>
                        </w:div>
                        <w:div w:id="1774279950">
                          <w:marLeft w:val="0"/>
                          <w:marRight w:val="0"/>
                          <w:marTop w:val="0"/>
                          <w:marBottom w:val="225"/>
                          <w:divBdr>
                            <w:top w:val="none" w:sz="0" w:space="0" w:color="auto"/>
                            <w:left w:val="none" w:sz="0" w:space="0" w:color="auto"/>
                            <w:bottom w:val="none" w:sz="0" w:space="0" w:color="auto"/>
                            <w:right w:val="none" w:sz="0" w:space="0" w:color="auto"/>
                          </w:divBdr>
                        </w:div>
                        <w:div w:id="226888938">
                          <w:marLeft w:val="0"/>
                          <w:marRight w:val="0"/>
                          <w:marTop w:val="0"/>
                          <w:marBottom w:val="225"/>
                          <w:divBdr>
                            <w:top w:val="none" w:sz="0" w:space="0" w:color="auto"/>
                            <w:left w:val="none" w:sz="0" w:space="0" w:color="auto"/>
                            <w:bottom w:val="none" w:sz="0" w:space="0" w:color="auto"/>
                            <w:right w:val="none" w:sz="0" w:space="0" w:color="auto"/>
                          </w:divBdr>
                        </w:div>
                        <w:div w:id="1757900519">
                          <w:marLeft w:val="0"/>
                          <w:marRight w:val="0"/>
                          <w:marTop w:val="0"/>
                          <w:marBottom w:val="225"/>
                          <w:divBdr>
                            <w:top w:val="none" w:sz="0" w:space="0" w:color="auto"/>
                            <w:left w:val="none" w:sz="0" w:space="0" w:color="auto"/>
                            <w:bottom w:val="none" w:sz="0" w:space="0" w:color="auto"/>
                            <w:right w:val="none" w:sz="0" w:space="0" w:color="auto"/>
                          </w:divBdr>
                        </w:div>
                        <w:div w:id="977028433">
                          <w:marLeft w:val="0"/>
                          <w:marRight w:val="0"/>
                          <w:marTop w:val="0"/>
                          <w:marBottom w:val="225"/>
                          <w:divBdr>
                            <w:top w:val="none" w:sz="0" w:space="0" w:color="auto"/>
                            <w:left w:val="none" w:sz="0" w:space="0" w:color="auto"/>
                            <w:bottom w:val="none" w:sz="0" w:space="0" w:color="auto"/>
                            <w:right w:val="none" w:sz="0" w:space="0" w:color="auto"/>
                          </w:divBdr>
                        </w:div>
                        <w:div w:id="1270163298">
                          <w:marLeft w:val="0"/>
                          <w:marRight w:val="0"/>
                          <w:marTop w:val="0"/>
                          <w:marBottom w:val="225"/>
                          <w:divBdr>
                            <w:top w:val="none" w:sz="0" w:space="0" w:color="auto"/>
                            <w:left w:val="none" w:sz="0" w:space="0" w:color="auto"/>
                            <w:bottom w:val="none" w:sz="0" w:space="0" w:color="auto"/>
                            <w:right w:val="none" w:sz="0" w:space="0" w:color="auto"/>
                          </w:divBdr>
                        </w:div>
                        <w:div w:id="1666738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54488931">
      <w:bodyDiv w:val="1"/>
      <w:marLeft w:val="0"/>
      <w:marRight w:val="0"/>
      <w:marTop w:val="0"/>
      <w:marBottom w:val="0"/>
      <w:divBdr>
        <w:top w:val="none" w:sz="0" w:space="0" w:color="auto"/>
        <w:left w:val="none" w:sz="0" w:space="0" w:color="auto"/>
        <w:bottom w:val="none" w:sz="0" w:space="0" w:color="auto"/>
        <w:right w:val="none" w:sz="0" w:space="0" w:color="auto"/>
      </w:divBdr>
      <w:divsChild>
        <w:div w:id="1155533937">
          <w:marLeft w:val="0"/>
          <w:marRight w:val="0"/>
          <w:marTop w:val="0"/>
          <w:marBottom w:val="0"/>
          <w:divBdr>
            <w:top w:val="none" w:sz="0" w:space="0" w:color="auto"/>
            <w:left w:val="none" w:sz="0" w:space="0" w:color="auto"/>
            <w:bottom w:val="none" w:sz="0" w:space="0" w:color="auto"/>
            <w:right w:val="none" w:sz="0" w:space="0" w:color="auto"/>
          </w:divBdr>
          <w:divsChild>
            <w:div w:id="1704935050">
              <w:marLeft w:val="0"/>
              <w:marRight w:val="0"/>
              <w:marTop w:val="300"/>
              <w:marBottom w:val="0"/>
              <w:divBdr>
                <w:top w:val="none" w:sz="0" w:space="0" w:color="auto"/>
                <w:left w:val="none" w:sz="0" w:space="0" w:color="auto"/>
                <w:bottom w:val="none" w:sz="0" w:space="0" w:color="auto"/>
                <w:right w:val="none" w:sz="0" w:space="0" w:color="auto"/>
              </w:divBdr>
              <w:divsChild>
                <w:div w:id="1010067322">
                  <w:marLeft w:val="0"/>
                  <w:marRight w:val="0"/>
                  <w:marTop w:val="0"/>
                  <w:marBottom w:val="0"/>
                  <w:divBdr>
                    <w:top w:val="single" w:sz="6" w:space="0" w:color="E5E5E5"/>
                    <w:left w:val="single" w:sz="6" w:space="0" w:color="E5E5E5"/>
                    <w:bottom w:val="single" w:sz="6" w:space="0" w:color="E5E5E5"/>
                    <w:right w:val="single" w:sz="6" w:space="0" w:color="E5E5E5"/>
                  </w:divBdr>
                  <w:divsChild>
                    <w:div w:id="1290435000">
                      <w:marLeft w:val="0"/>
                      <w:marRight w:val="0"/>
                      <w:marTop w:val="0"/>
                      <w:marBottom w:val="0"/>
                      <w:divBdr>
                        <w:top w:val="none" w:sz="0" w:space="0" w:color="auto"/>
                        <w:left w:val="none" w:sz="0" w:space="0" w:color="auto"/>
                        <w:bottom w:val="none" w:sz="0" w:space="0" w:color="auto"/>
                        <w:right w:val="none" w:sz="0" w:space="0" w:color="auto"/>
                      </w:divBdr>
                      <w:divsChild>
                        <w:div w:id="10995943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1169</Words>
  <Characters>6666</Characters>
  <Application>Microsoft Office Word</Application>
  <DocSecurity>0</DocSecurity>
  <Lines>55</Lines>
  <Paragraphs>15</Paragraphs>
  <ScaleCrop>false</ScaleCrop>
  <Company>Microsoft</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2016-05-26T01:23:00Z</dcterms:created>
  <dcterms:modified xsi:type="dcterms:W3CDTF">2016-05-26T01:24:00Z</dcterms:modified>
</cp:coreProperties>
</file>